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02678E" w:rsidRDefault="00263E98" w:rsidP="00263E98">
      <w:pPr>
        <w:ind w:right="21"/>
        <w:jc w:val="both"/>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57305A">
        <w:rPr>
          <w:rStyle w:val="FontStyle22"/>
          <w:b/>
          <w:sz w:val="20"/>
        </w:rPr>
        <w:t>_____________________________________________________________</w:t>
      </w:r>
      <w:r w:rsidR="007A5D90">
        <w:rPr>
          <w:rStyle w:val="FontStyle22"/>
          <w:b/>
          <w:sz w:val="20"/>
        </w:rPr>
        <w:t>____</w:t>
      </w:r>
      <w:r w:rsidR="0057305A">
        <w:rPr>
          <w:rStyle w:val="FontStyle22"/>
          <w:b/>
          <w:sz w:val="20"/>
        </w:rPr>
        <w:t>__________</w:t>
      </w:r>
    </w:p>
    <w:p w:rsidR="00263E98" w:rsidRPr="00854F66" w:rsidRDefault="00263E98" w:rsidP="00840697">
      <w:pPr>
        <w:ind w:right="21"/>
        <w:jc w:val="both"/>
        <w:rPr>
          <w:rStyle w:val="FontStyle22"/>
          <w:sz w:val="20"/>
        </w:rPr>
      </w:pP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57305A">
        <w:rPr>
          <w:rStyle w:val="FontStyle22"/>
          <w:b/>
          <w:sz w:val="20"/>
        </w:rPr>
        <w:t>_____________________________________</w:t>
      </w:r>
      <w:r w:rsidR="007A5D90">
        <w:rPr>
          <w:rStyle w:val="FontStyle22"/>
          <w:b/>
          <w:sz w:val="20"/>
        </w:rPr>
        <w:t>____</w:t>
      </w:r>
      <w:r w:rsidR="0057305A">
        <w:rPr>
          <w:rStyle w:val="FontStyle22"/>
          <w:b/>
          <w:sz w:val="20"/>
        </w:rPr>
        <w:t>______</w:t>
      </w:r>
    </w:p>
    <w:p w:rsidR="00263E98" w:rsidRPr="00854F66" w:rsidRDefault="00263E98" w:rsidP="00263E98">
      <w:pPr>
        <w:pStyle w:val="Style6"/>
        <w:widowControl/>
        <w:spacing w:line="240" w:lineRule="auto"/>
        <w:ind w:right="21" w:firstLine="0"/>
        <w:rPr>
          <w:rStyle w:val="FontStyle22"/>
          <w:sz w:val="20"/>
        </w:rPr>
      </w:pP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0" w:name="1632"/>
      <w:r w:rsidRPr="00854F66">
        <w:rPr>
          <w:sz w:val="20"/>
          <w:szCs w:val="22"/>
        </w:rPr>
        <w:t xml:space="preserve">Малі </w:t>
      </w:r>
      <w:proofErr w:type="spellStart"/>
      <w:r w:rsidRPr="00854F66">
        <w:rPr>
          <w:sz w:val="20"/>
          <w:szCs w:val="22"/>
        </w:rPr>
        <w:t>непобутові</w:t>
      </w:r>
      <w:proofErr w:type="spellEnd"/>
      <w:r w:rsidRPr="00854F66">
        <w:rPr>
          <w:sz w:val="20"/>
          <w:szCs w:val="22"/>
        </w:rPr>
        <w:t xml:space="preserve">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A64541">
        <w:rPr>
          <w:sz w:val="20"/>
          <w:szCs w:val="20"/>
        </w:rPr>
        <w:t>спецрахунок</w:t>
      </w:r>
      <w:proofErr w:type="spellEnd"/>
      <w:r w:rsidRPr="00A64541">
        <w:rPr>
          <w:sz w:val="20"/>
          <w:szCs w:val="20"/>
        </w:rPr>
        <w:t>).</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1C75">
        <w:rPr>
          <w:sz w:val="20"/>
          <w:szCs w:val="20"/>
        </w:rPr>
        <w:t>спецрахунок</w:t>
      </w:r>
      <w:proofErr w:type="spellEnd"/>
      <w:r w:rsidRPr="00BD1C75">
        <w:rPr>
          <w:sz w:val="20"/>
          <w:szCs w:val="20"/>
        </w:rPr>
        <w:t xml:space="preserve"> Постачальника.</w:t>
      </w:r>
    </w:p>
    <w:p w:rsidR="007A5D90" w:rsidRPr="00BD1C75" w:rsidRDefault="007A5D90" w:rsidP="007A5D90">
      <w:pPr>
        <w:ind w:firstLine="567"/>
        <w:jc w:val="both"/>
        <w:rPr>
          <w:sz w:val="20"/>
          <w:szCs w:val="20"/>
        </w:rPr>
      </w:pPr>
      <w:r w:rsidRPr="00BD1C75">
        <w:rPr>
          <w:sz w:val="20"/>
          <w:szCs w:val="20"/>
        </w:rPr>
        <w:t xml:space="preserve">Оплата вважається здійсненою після того, як на </w:t>
      </w:r>
      <w:proofErr w:type="spellStart"/>
      <w:r w:rsidRPr="00BD1C75">
        <w:rPr>
          <w:sz w:val="20"/>
          <w:szCs w:val="20"/>
        </w:rPr>
        <w:t>спецрахунок</w:t>
      </w:r>
      <w:proofErr w:type="spellEnd"/>
      <w:r w:rsidRPr="00BD1C75">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1C75">
        <w:rPr>
          <w:sz w:val="20"/>
          <w:szCs w:val="20"/>
        </w:rPr>
        <w:t>Спецрахунок</w:t>
      </w:r>
      <w:proofErr w:type="spellEnd"/>
      <w:r w:rsidRPr="00BD1C75">
        <w:rPr>
          <w:sz w:val="20"/>
          <w:szCs w:val="20"/>
        </w:rPr>
        <w:t xml:space="preserve">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 xml:space="preserve">10) вільно обирати іншого </w:t>
      </w:r>
      <w:proofErr w:type="spellStart"/>
      <w:r w:rsidRPr="00854F66">
        <w:rPr>
          <w:sz w:val="20"/>
          <w:szCs w:val="20"/>
        </w:rPr>
        <w:t>електропостачальника</w:t>
      </w:r>
      <w:proofErr w:type="spellEnd"/>
      <w:r w:rsidRPr="00854F66">
        <w:rPr>
          <w:sz w:val="20"/>
          <w:szCs w:val="20"/>
        </w:rPr>
        <w:t xml:space="preserve">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lastRenderedPageBreak/>
        <w:t xml:space="preserve">13) перейти на постачання електричної енергії до іншого </w:t>
      </w:r>
      <w:proofErr w:type="spellStart"/>
      <w:r w:rsidRPr="00854F66">
        <w:rPr>
          <w:sz w:val="20"/>
          <w:szCs w:val="20"/>
        </w:rPr>
        <w:t>електропостачальника</w:t>
      </w:r>
      <w:proofErr w:type="spellEnd"/>
      <w:r w:rsidRPr="00854F66">
        <w:rPr>
          <w:sz w:val="20"/>
          <w:szCs w:val="20"/>
        </w:rPr>
        <w:t>,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 xml:space="preserve">4) протягом 5 робочих днів до початку постачання електричної енергії новим </w:t>
      </w:r>
      <w:proofErr w:type="spellStart"/>
      <w:r w:rsidRPr="00854F66">
        <w:rPr>
          <w:sz w:val="20"/>
          <w:szCs w:val="20"/>
        </w:rPr>
        <w:t>електропостачальником</w:t>
      </w:r>
      <w:proofErr w:type="spellEnd"/>
      <w:r w:rsidRPr="00854F66">
        <w:rPr>
          <w:sz w:val="20"/>
          <w:szCs w:val="20"/>
        </w:rPr>
        <w:t>,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1751">
        <w:rPr>
          <w:sz w:val="20"/>
          <w:szCs w:val="20"/>
          <w:lang w:val="uk-UA"/>
        </w:rPr>
        <w:t>електропостачальником</w:t>
      </w:r>
      <w:proofErr w:type="spellEnd"/>
      <w:r w:rsidRPr="004B1751">
        <w:rPr>
          <w:sz w:val="20"/>
          <w:szCs w:val="20"/>
          <w:lang w:val="uk-UA"/>
        </w:rPr>
        <w:t xml:space="preserve">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4B1751">
        <w:rPr>
          <w:rStyle w:val="rvts0"/>
          <w:sz w:val="20"/>
          <w:szCs w:val="20"/>
          <w:lang w:val="uk-UA"/>
        </w:rPr>
        <w:t>електропостачальника</w:t>
      </w:r>
      <w:proofErr w:type="spellEnd"/>
      <w:r w:rsidRPr="004B1751">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D1C3B" w:rsidRPr="00D94D21" w:rsidRDefault="00DD1C3B" w:rsidP="00DD1C3B">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DD1C3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DD1C3B"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lastRenderedPageBreak/>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 xml:space="preserve">вибрати іншого </w:t>
      </w:r>
      <w:proofErr w:type="spellStart"/>
      <w:r w:rsidRPr="00854F66">
        <w:rPr>
          <w:sz w:val="20"/>
          <w:szCs w:val="20"/>
        </w:rPr>
        <w:t>електропостачальника</w:t>
      </w:r>
      <w:proofErr w:type="spellEnd"/>
      <w:r w:rsidRPr="00854F66">
        <w:rPr>
          <w:sz w:val="20"/>
          <w:szCs w:val="20"/>
        </w:rPr>
        <w:t xml:space="preserve"> та про наслідки невиконання цього;</w:t>
      </w:r>
    </w:p>
    <w:p w:rsidR="007A5D90" w:rsidRPr="00854F66" w:rsidRDefault="007A5D90" w:rsidP="007A5D90">
      <w:pPr>
        <w:ind w:firstLine="567"/>
        <w:jc w:val="both"/>
        <w:rPr>
          <w:sz w:val="20"/>
          <w:szCs w:val="20"/>
        </w:rPr>
      </w:pPr>
      <w:r w:rsidRPr="00854F66">
        <w:rPr>
          <w:sz w:val="20"/>
          <w:szCs w:val="20"/>
        </w:rPr>
        <w:t xml:space="preserve">перейти до </w:t>
      </w:r>
      <w:proofErr w:type="spellStart"/>
      <w:r w:rsidRPr="00854F66">
        <w:rPr>
          <w:sz w:val="20"/>
          <w:szCs w:val="20"/>
        </w:rPr>
        <w:t>електропостачальника</w:t>
      </w:r>
      <w:proofErr w:type="spellEnd"/>
      <w:r w:rsidRPr="00854F66">
        <w:rPr>
          <w:sz w:val="20"/>
          <w:szCs w:val="20"/>
        </w:rPr>
        <w:t>,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lastRenderedPageBreak/>
        <w:t xml:space="preserve">10. Порядок зміни </w:t>
      </w:r>
      <w:proofErr w:type="spellStart"/>
      <w:r w:rsidRPr="00854F66">
        <w:rPr>
          <w:b/>
          <w:sz w:val="20"/>
          <w:szCs w:val="20"/>
        </w:rPr>
        <w:t>електропостачальника</w:t>
      </w:r>
      <w:proofErr w:type="spellEnd"/>
    </w:p>
    <w:p w:rsidR="007A5D90" w:rsidRPr="00854F66" w:rsidRDefault="007A5D90" w:rsidP="007A5D90">
      <w:pPr>
        <w:ind w:firstLine="567"/>
        <w:jc w:val="both"/>
        <w:rPr>
          <w:sz w:val="20"/>
          <w:szCs w:val="20"/>
        </w:rPr>
      </w:pPr>
      <w:r w:rsidRPr="00854F66">
        <w:rPr>
          <w:sz w:val="20"/>
          <w:szCs w:val="20"/>
        </w:rPr>
        <w:t>10.</w:t>
      </w:r>
      <w:r w:rsidR="00A71A0E">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E76766">
        <w:rPr>
          <w:b/>
          <w:sz w:val="20"/>
          <w:szCs w:val="20"/>
        </w:rPr>
        <w:t>______________</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w:t>
      </w:r>
      <w:r w:rsidRPr="00442023">
        <w:rPr>
          <w:sz w:val="20"/>
          <w:szCs w:val="20"/>
          <w:lang w:val="uk-UA"/>
        </w:rPr>
        <w:lastRenderedPageBreak/>
        <w:t>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442023">
        <w:rPr>
          <w:rStyle w:val="rvts0"/>
          <w:sz w:val="20"/>
          <w:szCs w:val="20"/>
          <w:lang w:val="uk-UA"/>
        </w:rPr>
        <w:t>електропостачальника</w:t>
      </w:r>
      <w:proofErr w:type="spellEnd"/>
      <w:r w:rsidRPr="00442023">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A71A0E">
        <w:rPr>
          <w:iCs/>
          <w:sz w:val="20"/>
          <w:szCs w:val="20"/>
        </w:rPr>
        <w:t xml:space="preserve">на </w:t>
      </w:r>
      <w:r w:rsidRPr="00533E53">
        <w:rPr>
          <w:iCs/>
          <w:sz w:val="20"/>
          <w:szCs w:val="20"/>
        </w:rPr>
        <w:t xml:space="preserve">офіційному </w:t>
      </w:r>
      <w:proofErr w:type="spellStart"/>
      <w:r w:rsidRPr="00533E53">
        <w:rPr>
          <w:iCs/>
          <w:sz w:val="20"/>
          <w:szCs w:val="20"/>
        </w:rPr>
        <w:t>вебсайті</w:t>
      </w:r>
      <w:proofErr w:type="spellEnd"/>
      <w:r w:rsidRPr="00533E53">
        <w:rPr>
          <w:iCs/>
          <w:sz w:val="20"/>
          <w:szCs w:val="20"/>
        </w:rPr>
        <w:t xml:space="preserve"> ДП «ОПЕРАТОР РИНКУ» за адресою в мережі Інтернет </w:t>
      </w:r>
      <w:hyperlink r:id="rId9"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766">
        <w:rPr>
          <w:sz w:val="20"/>
          <w:szCs w:val="20"/>
          <w:lang w:eastAsia="ru-RU"/>
        </w:rPr>
        <w:t>Platts</w:t>
      </w:r>
      <w:proofErr w:type="spellEnd"/>
      <w:r w:rsidRPr="00E76766">
        <w:rPr>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lastRenderedPageBreak/>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1A0E" w:rsidRDefault="00A71A0E" w:rsidP="0099467C">
      <w:pPr>
        <w:ind w:firstLine="709"/>
        <w:jc w:val="both"/>
        <w:rPr>
          <w:sz w:val="20"/>
          <w:szCs w:val="20"/>
          <w:lang w:val="ru-RU"/>
        </w:rPr>
      </w:pPr>
    </w:p>
    <w:p w:rsidR="00A71A0E" w:rsidRPr="007A5D90" w:rsidRDefault="00A71A0E"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57305A" w:rsidP="002242A9">
            <w:pPr>
              <w:rPr>
                <w:b/>
                <w:snapToGrid w:val="0"/>
                <w:sz w:val="20"/>
                <w:szCs w:val="20"/>
              </w:rPr>
            </w:pPr>
            <w:r w:rsidRPr="001800B3">
              <w:rPr>
                <w:b/>
                <w:snapToGrid w:val="0"/>
                <w:sz w:val="20"/>
                <w:szCs w:val="20"/>
              </w:rPr>
              <w:t>Назва</w:t>
            </w:r>
          </w:p>
          <w:p w:rsidR="0057305A" w:rsidRPr="001800B3" w:rsidRDefault="0057305A" w:rsidP="002242A9">
            <w:pPr>
              <w:rPr>
                <w:b/>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ІПН</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Тел.</w:t>
            </w:r>
            <w:r w:rsidR="007A5D90" w:rsidRPr="001800B3">
              <w:rPr>
                <w:snapToGrid w:val="0"/>
                <w:sz w:val="20"/>
                <w:szCs w:val="20"/>
              </w:rPr>
              <w:t>:</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DD1C3B" w:rsidP="00DD1C3B">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DD1C3B">
            <w:pPr>
              <w:ind w:left="-313" w:firstLine="313"/>
              <w:rPr>
                <w:sz w:val="20"/>
                <w:szCs w:val="20"/>
              </w:rPr>
            </w:pPr>
            <w:r w:rsidRPr="001800B3">
              <w:rPr>
                <w:sz w:val="20"/>
                <w:szCs w:val="20"/>
              </w:rPr>
              <w:t>“_____”___________________20</w:t>
            </w:r>
            <w:r w:rsidR="00DD1C3B">
              <w:rPr>
                <w:sz w:val="20"/>
                <w:szCs w:val="20"/>
              </w:rPr>
              <w:t>__</w:t>
            </w:r>
            <w:r w:rsidRPr="001800B3">
              <w:rPr>
                <w:sz w:val="20"/>
                <w:szCs w:val="20"/>
              </w:rPr>
              <w:t xml:space="preserve"> року</w:t>
            </w:r>
          </w:p>
        </w:tc>
      </w:tr>
      <w:tr w:rsidR="0057305A" w:rsidRPr="001800B3"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w:t>
      </w:r>
      <w:proofErr w:type="spellStart"/>
      <w:r w:rsidRPr="006C2886">
        <w:rPr>
          <w:sz w:val="20"/>
        </w:rPr>
        <w:t>електропостачальника</w:t>
      </w:r>
      <w:proofErr w:type="spellEnd"/>
      <w:r w:rsidRPr="006C2886">
        <w:rPr>
          <w:sz w:val="20"/>
        </w:rPr>
        <w:t xml:space="preserve"> </w:t>
      </w:r>
      <w:r w:rsidRPr="006C2886">
        <w:rPr>
          <w:b/>
          <w:sz w:val="20"/>
        </w:rPr>
        <w:t>_________________________________</w:t>
      </w:r>
      <w:r w:rsidRPr="006C2886">
        <w:rPr>
          <w:sz w:val="20"/>
        </w:rPr>
        <w:t xml:space="preserve"> (</w:t>
      </w:r>
      <w:proofErr w:type="spellStart"/>
      <w:r w:rsidRPr="006C2886">
        <w:rPr>
          <w:sz w:val="20"/>
        </w:rPr>
        <w:t>ЕІС-код</w:t>
      </w:r>
      <w:proofErr w:type="spellEnd"/>
      <w:r w:rsidRPr="006C2886">
        <w:rPr>
          <w:sz w:val="20"/>
        </w:rPr>
        <w:t xml:space="preserve"> ____________________ </w:t>
      </w:r>
      <w:proofErr w:type="spellStart"/>
      <w:r w:rsidRPr="006C2886">
        <w:rPr>
          <w:sz w:val="20"/>
        </w:rPr>
        <w:t>електропостачальника</w:t>
      </w:r>
      <w:proofErr w:type="spellEnd"/>
      <w:r w:rsidRPr="006C2886">
        <w:rPr>
          <w:sz w:val="20"/>
        </w:rPr>
        <w:t xml:space="preserve">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905B55" w:rsidP="00B32C41">
            <w:pPr>
              <w:rPr>
                <w:sz w:val="20"/>
              </w:rPr>
            </w:pPr>
            <w:proofErr w:type="spellStart"/>
            <w:r>
              <w:rPr>
                <w:sz w:val="20"/>
              </w:rPr>
              <w:t>Квасилівський</w:t>
            </w:r>
            <w:proofErr w:type="spellEnd"/>
            <w:r>
              <w:rPr>
                <w:sz w:val="20"/>
              </w:rPr>
              <w:t xml:space="preserve"> ліцей Рівненської міської ради</w:t>
            </w: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905B55" w:rsidP="00B32C41">
            <w:pPr>
              <w:rPr>
                <w:color w:val="000000" w:themeColor="text1"/>
                <w:sz w:val="20"/>
              </w:rPr>
            </w:pPr>
            <w:r>
              <w:rPr>
                <w:color w:val="000000" w:themeColor="text1"/>
                <w:sz w:val="20"/>
              </w:rPr>
              <w:t>22560917</w:t>
            </w: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ПЛАТНИК/</w:t>
            </w:r>
            <w:r w:rsidRPr="00905B55">
              <w:rPr>
                <w:sz w:val="20"/>
                <w:u w:val="single"/>
              </w:rPr>
              <w:t>НЕ ПЛАТНИК</w:t>
            </w:r>
            <w:r w:rsidRPr="006C2886">
              <w:rPr>
                <w:sz w:val="20"/>
              </w:rPr>
              <w:t xml:space="preserve">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proofErr w:type="spellStart"/>
            <w:r w:rsidRPr="006C2886">
              <w:rPr>
                <w:sz w:val="20"/>
              </w:rPr>
              <w:t>ЕІС-код</w:t>
            </w:r>
            <w:proofErr w:type="spellEnd"/>
            <w:r w:rsidRPr="006C2886">
              <w:rPr>
                <w:sz w:val="20"/>
              </w:rPr>
              <w:t xml:space="preserve">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bookmarkStart w:id="3" w:name="_GoBack"/>
            <w:bookmarkEnd w:id="3"/>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905B55" w:rsidP="00B32C41">
            <w:pPr>
              <w:rPr>
                <w:color w:val="000000" w:themeColor="text1"/>
                <w:sz w:val="20"/>
              </w:rPr>
            </w:pPr>
            <w:proofErr w:type="spellStart"/>
            <w:r>
              <w:rPr>
                <w:color w:val="000000" w:themeColor="text1"/>
                <w:sz w:val="20"/>
              </w:rPr>
              <w:t>ПрАТ</w:t>
            </w:r>
            <w:proofErr w:type="spellEnd"/>
            <w:r>
              <w:rPr>
                <w:color w:val="000000" w:themeColor="text1"/>
                <w:sz w:val="20"/>
              </w:rPr>
              <w:t xml:space="preserve"> «</w:t>
            </w:r>
            <w:proofErr w:type="spellStart"/>
            <w:r>
              <w:rPr>
                <w:color w:val="000000" w:themeColor="text1"/>
                <w:sz w:val="20"/>
              </w:rPr>
              <w:t>Рівнеобленерго</w:t>
            </w:r>
            <w:proofErr w:type="spellEnd"/>
            <w:r>
              <w:rPr>
                <w:color w:val="000000" w:themeColor="text1"/>
                <w:sz w:val="20"/>
              </w:rPr>
              <w:t>»</w:t>
            </w: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w:t>
      </w:r>
      <w:proofErr w:type="spellStart"/>
      <w:r w:rsidRPr="006C2886">
        <w:rPr>
          <w:sz w:val="20"/>
        </w:rPr>
        <w:t>ЕІС-коди</w:t>
      </w:r>
      <w:proofErr w:type="spellEnd"/>
      <w:r w:rsidRPr="006C2886">
        <w:rPr>
          <w:sz w:val="20"/>
        </w:rPr>
        <w:t xml:space="preserve">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w:t>
            </w:r>
            <w:proofErr w:type="spellStart"/>
            <w:r w:rsidRPr="000A5F75">
              <w:rPr>
                <w:b/>
                <w:i/>
                <w:color w:val="000000"/>
                <w:sz w:val="18"/>
                <w:szCs w:val="18"/>
              </w:rPr>
              <w:t>mail</w:t>
            </w:r>
            <w:proofErr w:type="spellEnd"/>
            <w:r w:rsidRPr="000A5F75">
              <w:rPr>
                <w:b/>
                <w:i/>
                <w:color w:val="000000"/>
                <w:sz w:val="18"/>
                <w:szCs w:val="18"/>
              </w:rPr>
              <w:t>:</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 xml:space="preserve">Найменування попереднього </w:t>
      </w:r>
      <w:proofErr w:type="spellStart"/>
      <w:r w:rsidRPr="006C2886">
        <w:rPr>
          <w:b/>
          <w:sz w:val="20"/>
        </w:rPr>
        <w:t>Електропостачальника</w:t>
      </w:r>
      <w:proofErr w:type="spellEnd"/>
      <w:r w:rsidRPr="006C2886">
        <w:rPr>
          <w:b/>
          <w:sz w:val="20"/>
        </w:rPr>
        <w:t xml:space="preserve">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4"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proofErr w:type="spellStart"/>
            <w:r w:rsidRPr="000A5F75">
              <w:rPr>
                <w:b/>
                <w:bCs/>
                <w:color w:val="000000"/>
                <w:sz w:val="18"/>
                <w:szCs w:val="18"/>
                <w:lang w:eastAsia="en-US"/>
              </w:rPr>
              <w:t>ЕІС-код</w:t>
            </w:r>
            <w:proofErr w:type="spellEnd"/>
            <w:r w:rsidRPr="000A5F75">
              <w:rPr>
                <w:b/>
                <w:bCs/>
                <w:color w:val="000000"/>
                <w:sz w:val="18"/>
                <w:szCs w:val="18"/>
                <w:lang w:eastAsia="en-US"/>
              </w:rPr>
              <w:t xml:space="preserve">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4"/>
        <w:rPr>
          <w:rStyle w:val="FontStyle12"/>
          <w:sz w:val="16"/>
          <w:szCs w:val="16"/>
          <w:lang w:eastAsia="uk-UA"/>
        </w:rPr>
      </w:pPr>
    </w:p>
    <w:bookmarkEnd w:id="4"/>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lastRenderedPageBreak/>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w:t>
            </w:r>
            <w:proofErr w:type="spellStart"/>
            <w:r w:rsidRPr="000F3EEE">
              <w:rPr>
                <w:sz w:val="18"/>
                <w:szCs w:val="20"/>
              </w:rPr>
              <w:t>–код</w:t>
            </w:r>
            <w:proofErr w:type="spellEnd"/>
            <w:r w:rsidRPr="000F3EEE">
              <w:rPr>
                <w:sz w:val="18"/>
                <w:szCs w:val="20"/>
              </w:rPr>
              <w:t xml:space="preserve">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proofErr w:type="spellStart"/>
            <w:r w:rsidRPr="001A0457">
              <w:rPr>
                <w:sz w:val="20"/>
                <w:szCs w:val="20"/>
              </w:rPr>
              <w:t>год</w:t>
            </w:r>
            <w:proofErr w:type="spellEnd"/>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w:t>
      </w:r>
      <w:proofErr w:type="spellStart"/>
      <w:r w:rsidR="0057305A" w:rsidRPr="006C2886">
        <w:rPr>
          <w:sz w:val="22"/>
          <w:szCs w:val="24"/>
        </w:rPr>
        <w:t>грн</w:t>
      </w:r>
      <w:proofErr w:type="spellEnd"/>
      <w:r w:rsidR="0057305A" w:rsidRPr="006C2886">
        <w:rPr>
          <w:sz w:val="22"/>
          <w:szCs w:val="24"/>
        </w:rPr>
        <w:t xml:space="preserve">,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proofErr w:type="spellStart"/>
      <w:r w:rsidRPr="006C2886">
        <w:rPr>
          <w:sz w:val="22"/>
          <w:szCs w:val="24"/>
        </w:rPr>
        <w:t>Зобов</w:t>
      </w:r>
      <w:proofErr w:type="spellEnd"/>
      <w:r w:rsidRPr="006C2886">
        <w:rPr>
          <w:sz w:val="22"/>
          <w:szCs w:val="24"/>
          <w:lang w:val="ru-RU"/>
        </w:rPr>
        <w:t>’</w:t>
      </w:r>
      <w:proofErr w:type="spellStart"/>
      <w:r w:rsidRPr="006C2886">
        <w:rPr>
          <w:sz w:val="22"/>
          <w:szCs w:val="24"/>
        </w:rPr>
        <w:t>язання</w:t>
      </w:r>
      <w:proofErr w:type="spellEnd"/>
      <w:r w:rsidRPr="006C2886">
        <w:rPr>
          <w:sz w:val="22"/>
          <w:szCs w:val="24"/>
        </w:rPr>
        <w:t xml:space="preserve">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F45E45">
        <w:rPr>
          <w:sz w:val="22"/>
        </w:rPr>
        <w:t>4</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10"/>
      <w:footerReference w:type="default" r:id="rId11"/>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59" w:rsidRDefault="00575659" w:rsidP="00330BA2">
      <w:r>
        <w:separator/>
      </w:r>
    </w:p>
  </w:endnote>
  <w:endnote w:type="continuationSeparator" w:id="0">
    <w:p w:rsidR="00575659" w:rsidRDefault="00575659"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786025"/>
      <w:docPartObj>
        <w:docPartGallery w:val="Page Numbers (Bottom of Page)"/>
        <w:docPartUnique/>
      </w:docPartObj>
    </w:sdtPr>
    <w:sdtEndPr>
      <w:rPr>
        <w:sz w:val="16"/>
        <w:szCs w:val="16"/>
      </w:rPr>
    </w:sdtEndPr>
    <w:sdtContent>
      <w:p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905B55" w:rsidRPr="00905B55">
          <w:rPr>
            <w:noProof/>
            <w:sz w:val="16"/>
            <w:szCs w:val="16"/>
            <w:lang w:val="ru-RU"/>
          </w:rPr>
          <w:t>12</w:t>
        </w:r>
        <w:r w:rsidRPr="001F6155">
          <w:rPr>
            <w:sz w:val="16"/>
            <w:szCs w:val="16"/>
          </w:rPr>
          <w:fldChar w:fldCharType="end"/>
        </w:r>
      </w:p>
    </w:sdtContent>
  </w:sdt>
  <w:p w:rsidR="00EF2772" w:rsidRDefault="00EF277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43213"/>
      <w:docPartObj>
        <w:docPartGallery w:val="Page Numbers (Bottom of Page)"/>
        <w:docPartUnique/>
      </w:docPartObj>
    </w:sdtPr>
    <w:sdtEndPr>
      <w:rPr>
        <w:sz w:val="16"/>
        <w:szCs w:val="16"/>
      </w:rPr>
    </w:sdtEndPr>
    <w:sdtContent>
      <w:p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905B55" w:rsidRPr="00905B55">
          <w:rPr>
            <w:noProof/>
            <w:sz w:val="16"/>
            <w:szCs w:val="16"/>
            <w:lang w:val="ru-RU"/>
          </w:rPr>
          <w:t>13</w:t>
        </w:r>
        <w:r w:rsidRPr="002C7D98">
          <w:rPr>
            <w:sz w:val="16"/>
            <w:szCs w:val="16"/>
          </w:rPr>
          <w:fldChar w:fldCharType="end"/>
        </w:r>
      </w:p>
    </w:sdtContent>
  </w:sdt>
  <w:p w:rsidR="00EF2772" w:rsidRDefault="00EF27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59" w:rsidRDefault="00575659" w:rsidP="00330BA2">
      <w:r>
        <w:separator/>
      </w:r>
    </w:p>
  </w:footnote>
  <w:footnote w:type="continuationSeparator" w:id="0">
    <w:p w:rsidR="00575659" w:rsidRDefault="00575659" w:rsidP="0033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77EFB"/>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05B55"/>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1A0E"/>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6917"/>
    <w:rsid w:val="00DD1C3B"/>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5E45"/>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E9673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у виносці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ітки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ітки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і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і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af3"/>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af3">
    <w:name w:val="Звичайний (веб) Знак"/>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и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5">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5"/>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B6A59-26A0-436F-A964-03A86579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13</Pages>
  <Words>5856</Words>
  <Characters>41066</Characters>
  <Application>Microsoft Office Word</Application>
  <DocSecurity>0</DocSecurity>
  <Lines>342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46829</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Головний бухгалтер</cp:lastModifiedBy>
  <cp:revision>114</cp:revision>
  <cp:lastPrinted>2022-11-01T07:57:00Z</cp:lastPrinted>
  <dcterms:created xsi:type="dcterms:W3CDTF">2019-05-15T10:27:00Z</dcterms:created>
  <dcterms:modified xsi:type="dcterms:W3CDTF">2023-12-21T11:01:00Z</dcterms:modified>
</cp:coreProperties>
</file>