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>Інформація, що містить комерційну таємницю може бути закрита шляхом заштрихування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3F763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</w:t>
            </w:r>
          </w:p>
          <w:p w:rsidR="003F763C" w:rsidRDefault="003F763C" w:rsidP="00F73D54">
            <w:pPr>
              <w:pStyle w:val="21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8C" w:rsidRDefault="0021728C" w:rsidP="00097041">
      <w:r>
        <w:separator/>
      </w:r>
    </w:p>
  </w:endnote>
  <w:endnote w:type="continuationSeparator" w:id="0">
    <w:p w:rsidR="0021728C" w:rsidRDefault="0021728C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8C" w:rsidRDefault="0021728C" w:rsidP="00097041">
      <w:r>
        <w:separator/>
      </w:r>
    </w:p>
  </w:footnote>
  <w:footnote w:type="continuationSeparator" w:id="0">
    <w:p w:rsidR="0021728C" w:rsidRDefault="0021728C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1728C"/>
    <w:rsid w:val="002928F6"/>
    <w:rsid w:val="002D1243"/>
    <w:rsid w:val="003800CE"/>
    <w:rsid w:val="00386B3B"/>
    <w:rsid w:val="003F763C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5EE"/>
  <w15:docId w15:val="{97B84005-D564-4DF2-94A9-B504F7A1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</cp:lastModifiedBy>
  <cp:revision>72</cp:revision>
  <cp:lastPrinted>2020-10-09T15:20:00Z</cp:lastPrinted>
  <dcterms:created xsi:type="dcterms:W3CDTF">2018-11-14T11:15:00Z</dcterms:created>
  <dcterms:modified xsi:type="dcterms:W3CDTF">2024-01-19T12:46:00Z</dcterms:modified>
</cp:coreProperties>
</file>