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8749" w14:textId="03A5B969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 xml:space="preserve">Додаток </w:t>
      </w:r>
      <w:r w:rsidR="00B56CA2">
        <w:rPr>
          <w:rFonts w:ascii="Cambria" w:hAnsi="Cambria"/>
          <w:b/>
          <w:bCs/>
          <w:sz w:val="19"/>
          <w:szCs w:val="19"/>
          <w:lang w:val="uk-UA"/>
        </w:rPr>
        <w:t>1</w:t>
      </w:r>
    </w:p>
    <w:p w14:paraId="038DB90A" w14:textId="77777777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6F006CFA" w14:textId="77777777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7E61A36F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ІНФОРМАЦІЯ</w:t>
      </w:r>
    </w:p>
    <w:p w14:paraId="02C7D9D5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про необхідні технічні, якісні та кількісні характеристики предмета закупівлі</w:t>
      </w:r>
    </w:p>
    <w:p w14:paraId="47FC6146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Технічна специфікація (технічні вимоги)</w:t>
      </w:r>
    </w:p>
    <w:p w14:paraId="382C8A4E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tbl>
      <w:tblPr>
        <w:tblW w:w="9640" w:type="dxa"/>
        <w:tblInd w:w="-53" w:type="dxa"/>
        <w:tblLayout w:type="fixed"/>
        <w:tblCellMar>
          <w:left w:w="89" w:type="dxa"/>
        </w:tblCellMar>
        <w:tblLook w:val="0000" w:firstRow="0" w:lastRow="0" w:firstColumn="0" w:lastColumn="0" w:noHBand="0" w:noVBand="0"/>
      </w:tblPr>
      <w:tblGrid>
        <w:gridCol w:w="4679"/>
        <w:gridCol w:w="4961"/>
      </w:tblGrid>
      <w:tr w:rsidR="00243D08" w:rsidRPr="005544FB" w14:paraId="3B8C5A6A" w14:textId="77777777" w:rsidTr="00F9360B">
        <w:trPr>
          <w:trHeight w:val="157"/>
        </w:trPr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C2B4F2" w14:textId="77777777" w:rsidR="00243D08" w:rsidRPr="000C5021" w:rsidRDefault="00243D08" w:rsidP="00F9360B">
            <w:pPr>
              <w:pStyle w:val="a3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Конкретне </w:t>
            </w:r>
            <w:r w:rsidRPr="000C5021">
              <w:rPr>
                <w:rFonts w:ascii="Cambria" w:hAnsi="Cambria"/>
                <w:sz w:val="18"/>
                <w:szCs w:val="18"/>
                <w:lang w:val="uk-UA" w:eastAsia="uk-UA"/>
              </w:rPr>
              <w:t>найменування товару, роботи або послуги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A45CE4" w14:textId="0E78FC4A" w:rsidR="00243D08" w:rsidRPr="0041789E" w:rsidRDefault="0041789E" w:rsidP="00F9360B">
            <w:pPr>
              <w:pStyle w:val="a3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41789E">
              <w:rPr>
                <w:rFonts w:ascii="Cambria" w:hAnsi="Cambria"/>
                <w:b/>
                <w:color w:val="000000"/>
                <w:sz w:val="18"/>
                <w:szCs w:val="18"/>
                <w:lang w:val="uk-UA"/>
              </w:rPr>
              <w:t xml:space="preserve">ДК 021:2015 – 71610000 - 7 «Послуги з випробувань та аналізу складу і чистоти» </w:t>
            </w:r>
            <w:r w:rsidRPr="0041789E">
              <w:rPr>
                <w:rFonts w:ascii="Cambria" w:hAnsi="Cambria"/>
                <w:b/>
                <w:sz w:val="18"/>
                <w:szCs w:val="18"/>
                <w:lang w:val="uk-UA"/>
              </w:rPr>
              <w:t>(</w:t>
            </w:r>
            <w:r w:rsidR="00AE368C" w:rsidRPr="00AE368C">
              <w:rPr>
                <w:rFonts w:ascii="Cambria" w:hAnsi="Cambria"/>
                <w:b/>
                <w:color w:val="000000"/>
                <w:sz w:val="18"/>
                <w:szCs w:val="18"/>
                <w:lang w:val="uk-UA"/>
              </w:rPr>
              <w:t>Дослідження нехарчової продукції: побутові лампи неспрямованого випромінення</w:t>
            </w:r>
            <w:r w:rsidRPr="0041789E">
              <w:rPr>
                <w:rFonts w:ascii="Cambria" w:hAnsi="Cambria"/>
                <w:b/>
                <w:sz w:val="18"/>
                <w:szCs w:val="18"/>
                <w:lang w:val="uk-UA"/>
              </w:rPr>
              <w:t>)</w:t>
            </w:r>
          </w:p>
        </w:tc>
      </w:tr>
    </w:tbl>
    <w:p w14:paraId="12756835" w14:textId="77777777" w:rsidR="00243D08" w:rsidRPr="000C5021" w:rsidRDefault="00243D08" w:rsidP="00243D08">
      <w:pPr>
        <w:pStyle w:val="a3"/>
        <w:ind w:firstLine="708"/>
        <w:rPr>
          <w:rFonts w:ascii="Cambria" w:hAnsi="Cambria"/>
          <w:sz w:val="14"/>
          <w:szCs w:val="14"/>
          <w:lang w:val="uk-UA"/>
        </w:rPr>
      </w:pPr>
    </w:p>
    <w:p w14:paraId="24D11FCF" w14:textId="77777777" w:rsidR="00625C46" w:rsidRPr="000C5021" w:rsidRDefault="00625C46" w:rsidP="00625C46">
      <w:pPr>
        <w:pStyle w:val="a3"/>
        <w:ind w:firstLine="708"/>
        <w:jc w:val="both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4"/>
          <w:szCs w:val="14"/>
          <w:lang w:val="uk-UA"/>
        </w:rPr>
        <w:t xml:space="preserve">Відповідно до ст.5 Закону України «Про санкції» від 14.08.2014 №1644-VII, приписів абзац 4 п.2) частини першої розпорядження Кабінету Міністрів України «Про пропозиції щодо застосування персональних спеціальних економічних та інших обмежувальних заходів» від 11.09.2014  № 829-р, а також вимог Указу Президента України №133/2017 від 15.05.2017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(санкцій)», Указу Президента України № 63/2017 від 15.03.2017 «Про рішення Ради національної безпеки і оборони України від 15 березня 2017 року «Про застосування персональних спеціальних економічних та інших обмежувальних заходів (санкцій)» та Указу Президента України № 254/2016 від 15.06.2016 «Про рішення Ради національної безпеки і оборони України від 20 травня 2016 року "Про виконання резолюції Ради Безпеки Організації Об'єднаних Націй від 20 липня 2015 року № 2231 щодо Спільного всеосяжного плану дій в частині персональних санкцій», з метою забезпечення реалізації персональних спеціальних економічних та інших обмежувальних заходів (санкцій) та відповідно до Постанови Кабінету Міністрів України від 10.05.2022 № 555 - заборонено введення в обіг і обіг палив, які ввозяться на митну територію України походженням з Російської Федерації та Республіки Білорусь та/або палива, власниками якого є юридичні особи, які зареєстровані на території Російської Федерації та Республіки Білорусь, або кінцевими </w:t>
      </w:r>
      <w:proofErr w:type="spellStart"/>
      <w:r w:rsidRPr="000C5021">
        <w:rPr>
          <w:rFonts w:ascii="Cambria" w:hAnsi="Cambria"/>
          <w:sz w:val="14"/>
          <w:szCs w:val="14"/>
          <w:lang w:val="uk-UA"/>
        </w:rPr>
        <w:t>бенефіціарами</w:t>
      </w:r>
      <w:proofErr w:type="spellEnd"/>
      <w:r w:rsidRPr="000C5021">
        <w:rPr>
          <w:rFonts w:ascii="Cambria" w:hAnsi="Cambria"/>
          <w:sz w:val="14"/>
          <w:szCs w:val="14"/>
          <w:lang w:val="uk-UA"/>
        </w:rPr>
        <w:t xml:space="preserve"> яких є Російська Федерація та Республіка Білорусь, фізичні та юридичні особи, стосовно яких застосовано спеціальні економічні та інші обмежувальні заходи (санкції) відповідно до Закону України «Про санкції». </w:t>
      </w:r>
    </w:p>
    <w:p w14:paraId="5D8427EB" w14:textId="77777777" w:rsidR="00243D08" w:rsidRDefault="00243D08" w:rsidP="00243D08">
      <w:pPr>
        <w:tabs>
          <w:tab w:val="left" w:pos="284"/>
          <w:tab w:val="left" w:pos="426"/>
        </w:tabs>
        <w:jc w:val="both"/>
        <w:rPr>
          <w:rFonts w:ascii="Cambria" w:hAnsi="Cambria"/>
          <w:b/>
          <w:bCs/>
          <w:sz w:val="16"/>
          <w:szCs w:val="16"/>
          <w:lang w:val="uk-UA"/>
        </w:rPr>
      </w:pPr>
    </w:p>
    <w:tbl>
      <w:tblPr>
        <w:tblW w:w="10457" w:type="dxa"/>
        <w:jc w:val="center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3060"/>
        <w:gridCol w:w="3058"/>
        <w:gridCol w:w="1422"/>
        <w:gridCol w:w="1533"/>
        <w:gridCol w:w="1384"/>
      </w:tblGrid>
      <w:tr w:rsidR="0041789E" w:rsidRPr="00B0207E" w14:paraId="428A851A" w14:textId="77777777" w:rsidTr="00501597">
        <w:trPr>
          <w:trHeight w:val="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65214" w14:textId="77777777" w:rsidR="0041789E" w:rsidRPr="00B0207E" w:rsidRDefault="0041789E" w:rsidP="00501597">
            <w:pPr>
              <w:snapToGrid w:val="0"/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bookmarkStart w:id="0" w:name="_Hlk141775457"/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Назва випробувань фізичних факторів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79B77" w14:textId="77777777" w:rsidR="0041789E" w:rsidRPr="00B0207E" w:rsidRDefault="0041789E" w:rsidP="00501597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Характеристика (показників, параметрів), що визначаються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3E1AD" w14:textId="77777777" w:rsidR="0041789E" w:rsidRPr="00B0207E" w:rsidRDefault="0041789E" w:rsidP="00501597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Кількість послуг (досліджень)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655B39" w14:textId="73FE9B39" w:rsidR="0041789E" w:rsidRPr="00B0207E" w:rsidRDefault="0041789E" w:rsidP="00501597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Вартість за од. послуги (дослідження) (грн.)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,</w:t>
            </w: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 xml:space="preserve"> з  ПДВ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98E72" w14:textId="77777777" w:rsidR="0041789E" w:rsidRPr="00B0207E" w:rsidRDefault="0041789E" w:rsidP="00501597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Загальна вартість послуг (досліджень) (грн.)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 xml:space="preserve">, </w:t>
            </w: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з ПДВ</w:t>
            </w:r>
          </w:p>
        </w:tc>
      </w:tr>
      <w:tr w:rsidR="0041789E" w:rsidRPr="00B0207E" w14:paraId="2CEA5621" w14:textId="77777777" w:rsidTr="00501597">
        <w:trPr>
          <w:trHeight w:val="20"/>
          <w:jc w:val="center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21208B" w14:textId="4823FE77" w:rsidR="0041789E" w:rsidRPr="00B0207E" w:rsidRDefault="0041789E" w:rsidP="00501597">
            <w:pPr>
              <w:spacing w:after="200" w:line="276" w:lineRule="auto"/>
              <w:jc w:val="both"/>
              <w:rPr>
                <w:rFonts w:ascii="Cambria" w:hAnsi="Cambria"/>
                <w:sz w:val="16"/>
                <w:szCs w:val="16"/>
                <w:lang w:val="uk-UA"/>
              </w:rPr>
            </w:pPr>
            <w:r w:rsidRPr="00B923E2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Кількість досліджень:   1</w:t>
            </w:r>
            <w:r w:rsidR="00450E2F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41789E" w:rsidRPr="00B0207E" w14:paraId="2CE91702" w14:textId="77777777" w:rsidTr="00501597">
        <w:trPr>
          <w:trHeight w:val="165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FD77" w14:textId="606EB522" w:rsidR="0041789E" w:rsidRPr="00F07102" w:rsidRDefault="0041789E" w:rsidP="00501597">
            <w:pPr>
              <w:spacing w:after="200" w:line="276" w:lineRule="auto"/>
              <w:rPr>
                <w:rFonts w:ascii="Cambria" w:hAnsi="Cambria"/>
                <w:bCs/>
                <w:sz w:val="16"/>
                <w:szCs w:val="16"/>
                <w:lang w:val="uk-UA"/>
              </w:rPr>
            </w:pPr>
            <w:r w:rsidRPr="00F07102">
              <w:rPr>
                <w:rFonts w:ascii="Cambria" w:hAnsi="Cambria"/>
                <w:bCs/>
                <w:color w:val="000000"/>
                <w:sz w:val="20"/>
                <w:szCs w:val="20"/>
                <w:lang w:val="uk-UA"/>
              </w:rPr>
              <w:t xml:space="preserve">ДК 021:2015 – 71610000 - 7 «Послуги з випробувань та аналізу складу і чистоти» </w:t>
            </w:r>
            <w:r w:rsidRPr="00F07102">
              <w:rPr>
                <w:rFonts w:ascii="Cambria" w:hAnsi="Cambria"/>
                <w:bCs/>
                <w:sz w:val="20"/>
                <w:szCs w:val="20"/>
                <w:lang w:val="uk-UA"/>
              </w:rPr>
              <w:t>(</w:t>
            </w:r>
            <w:bookmarkStart w:id="1" w:name="_Hlk158373841"/>
            <w:r w:rsidRPr="00F07102">
              <w:rPr>
                <w:rFonts w:ascii="Cambria" w:hAnsi="Cambria"/>
                <w:bCs/>
                <w:sz w:val="20"/>
                <w:szCs w:val="20"/>
                <w:lang w:val="uk-UA"/>
              </w:rPr>
              <w:t>Дослідження нехарчової продукції: побутові лампи неспрямованого випромінення</w:t>
            </w:r>
            <w:bookmarkEnd w:id="1"/>
            <w:r w:rsidRPr="00F07102">
              <w:rPr>
                <w:rFonts w:ascii="Cambria" w:hAnsi="Cambria"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9108" w14:textId="0B5DF6F9" w:rsidR="0041789E" w:rsidRPr="00F07102" w:rsidRDefault="00450E2F" w:rsidP="00501597">
            <w:pPr>
              <w:spacing w:after="200" w:line="276" w:lineRule="auto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uk-UA"/>
              </w:rPr>
              <w:t xml:space="preserve">Вимірювання ефективності споживання електроенергії  </w:t>
            </w:r>
            <w:r w:rsidR="0041789E" w:rsidRPr="00F07102">
              <w:rPr>
                <w:rFonts w:ascii="Cambria" w:hAnsi="Cambria"/>
                <w:bCs/>
                <w:sz w:val="20"/>
                <w:szCs w:val="20"/>
                <w:lang w:val="uk-UA"/>
              </w:rPr>
              <w:t xml:space="preserve">ламп побутових неспрямованого випромінення на відповідність вимогам </w:t>
            </w:r>
            <w:r>
              <w:rPr>
                <w:rFonts w:ascii="Cambria" w:hAnsi="Cambria"/>
                <w:bCs/>
                <w:sz w:val="20"/>
                <w:szCs w:val="20"/>
                <w:lang w:val="uk-UA"/>
              </w:rPr>
              <w:t xml:space="preserve"> </w:t>
            </w:r>
            <w:r w:rsidR="0041789E" w:rsidRPr="00F07102">
              <w:rPr>
                <w:rFonts w:ascii="Cambria" w:hAnsi="Cambria"/>
                <w:bCs/>
                <w:sz w:val="20"/>
                <w:szCs w:val="20"/>
                <w:lang w:val="uk-UA"/>
              </w:rPr>
              <w:t>Технічного регламенту щодо вимог до екодизайну для побутових ламп неспрямованого випромінення</w:t>
            </w:r>
            <w:r>
              <w:rPr>
                <w:rFonts w:ascii="Cambria" w:hAnsi="Cambria"/>
                <w:bCs/>
                <w:sz w:val="20"/>
                <w:szCs w:val="20"/>
                <w:lang w:val="uk-UA"/>
              </w:rPr>
              <w:t xml:space="preserve"> (середній світловий потік та середня потужність для компактних люмінесцентних ламп та ламп розжарювання)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6885E" w14:textId="73EFB8BC" w:rsidR="0041789E" w:rsidRPr="00450E2F" w:rsidRDefault="00B923E2" w:rsidP="00501597">
            <w:pPr>
              <w:spacing w:after="200" w:line="276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1</w:t>
            </w:r>
            <w:r w:rsidR="00450E2F">
              <w:rPr>
                <w:rFonts w:ascii="Cambria" w:hAnsi="Cambria"/>
                <w:sz w:val="18"/>
                <w:szCs w:val="18"/>
                <w:lang w:val="en-US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A5B49" w14:textId="77777777" w:rsidR="0041789E" w:rsidRPr="00B0207E" w:rsidRDefault="0041789E" w:rsidP="00501597">
            <w:pPr>
              <w:snapToGrid w:val="0"/>
              <w:spacing w:after="200"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CE7E6" w14:textId="77777777" w:rsidR="0041789E" w:rsidRPr="00B0207E" w:rsidRDefault="0041789E" w:rsidP="00501597">
            <w:pPr>
              <w:snapToGrid w:val="0"/>
              <w:spacing w:after="200"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</w:tr>
      <w:tr w:rsidR="0041789E" w:rsidRPr="00B0207E" w14:paraId="4078CE72" w14:textId="77777777" w:rsidTr="00501597">
        <w:trPr>
          <w:trHeight w:val="57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460E7" w14:textId="77777777" w:rsidR="0041789E" w:rsidRPr="00B0207E" w:rsidRDefault="0041789E" w:rsidP="00501597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ВСЬОГО: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638BC" w14:textId="3D6008F0" w:rsidR="0041789E" w:rsidRPr="00B0207E" w:rsidRDefault="00B923E2" w:rsidP="00501597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1</w:t>
            </w:r>
            <w:r w:rsidR="00450E2F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B74B1" w14:textId="77777777" w:rsidR="0041789E" w:rsidRPr="00B0207E" w:rsidRDefault="0041789E" w:rsidP="00501597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86F76" w14:textId="77777777" w:rsidR="0041789E" w:rsidRPr="00B0207E" w:rsidRDefault="0041789E" w:rsidP="00501597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bookmarkEnd w:id="0"/>
    </w:tbl>
    <w:p w14:paraId="64BEFDC0" w14:textId="77777777" w:rsidR="003651D1" w:rsidRDefault="003651D1" w:rsidP="00243D08">
      <w:pPr>
        <w:tabs>
          <w:tab w:val="left" w:pos="284"/>
          <w:tab w:val="left" w:pos="426"/>
        </w:tabs>
        <w:jc w:val="both"/>
        <w:rPr>
          <w:rFonts w:ascii="Cambria" w:hAnsi="Cambria"/>
          <w:b/>
          <w:bCs/>
          <w:sz w:val="16"/>
          <w:szCs w:val="16"/>
          <w:lang w:val="uk-UA"/>
        </w:rPr>
      </w:pPr>
    </w:p>
    <w:p w14:paraId="703E40AB" w14:textId="77777777" w:rsidR="000B7AE2" w:rsidRPr="008F5902" w:rsidRDefault="0041789E" w:rsidP="000B7AE2">
      <w:pPr>
        <w:spacing w:after="200" w:line="276" w:lineRule="auto"/>
        <w:jc w:val="both"/>
        <w:rPr>
          <w:rFonts w:ascii="Cambria" w:eastAsia="Times New Roman" w:hAnsi="Cambria" w:cstheme="minorHAnsi"/>
          <w:b/>
          <w:sz w:val="18"/>
          <w:szCs w:val="18"/>
          <w:lang w:val="uk-UA"/>
        </w:rPr>
      </w:pPr>
      <w:r w:rsidRPr="008F5902">
        <w:rPr>
          <w:rFonts w:ascii="Cambria" w:eastAsia="Times New Roman" w:hAnsi="Cambria" w:cstheme="minorHAnsi"/>
          <w:b/>
          <w:sz w:val="18"/>
          <w:szCs w:val="18"/>
          <w:lang w:val="uk-UA"/>
        </w:rPr>
        <w:t>Вимоги до  Учасників:</w:t>
      </w:r>
    </w:p>
    <w:p w14:paraId="012DC30B" w14:textId="4AB3C47C" w:rsidR="00B736D7" w:rsidRPr="00B148B0" w:rsidRDefault="0041789E" w:rsidP="005544FB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-426" w:firstLine="66"/>
        <w:jc w:val="both"/>
        <w:rPr>
          <w:rFonts w:ascii="Cambria" w:hAnsi="Cambria" w:cstheme="minorHAnsi"/>
          <w:sz w:val="18"/>
          <w:szCs w:val="18"/>
          <w:lang w:val="uk-UA"/>
        </w:rPr>
      </w:pPr>
      <w:r w:rsidRPr="000B7AE2">
        <w:rPr>
          <w:rFonts w:ascii="Cambria" w:eastAsia="Times New Roman" w:hAnsi="Cambria" w:cstheme="minorHAnsi"/>
          <w:sz w:val="18"/>
          <w:szCs w:val="18"/>
          <w:lang w:val="uk-UA"/>
        </w:rPr>
        <w:t xml:space="preserve">Учасник повинен бути акредитований на відповідність вимогам </w:t>
      </w:r>
      <w:r w:rsidRPr="000B7AE2">
        <w:rPr>
          <w:rFonts w:ascii="Cambria" w:hAnsi="Cambria" w:cstheme="majorHAnsi"/>
          <w:color w:val="000000"/>
          <w:sz w:val="18"/>
          <w:szCs w:val="18"/>
          <w:shd w:val="clear" w:color="auto" w:fill="FFFFFF"/>
          <w:lang w:val="uk-UA"/>
        </w:rPr>
        <w:t>ДСТУ</w:t>
      </w:r>
      <w:r w:rsidRPr="000B7AE2">
        <w:rPr>
          <w:rFonts w:ascii="Cambria" w:hAnsi="Cambria" w:cstheme="majorHAnsi"/>
          <w:color w:val="000000"/>
          <w:sz w:val="18"/>
          <w:szCs w:val="18"/>
          <w:shd w:val="clear" w:color="auto" w:fill="FFFFFF"/>
        </w:rPr>
        <w:t> </w:t>
      </w:r>
      <w:r w:rsidR="000B7AE2">
        <w:rPr>
          <w:rFonts w:ascii="Cambria" w:hAnsi="Cambria" w:cstheme="majorHAnsi"/>
          <w:color w:val="000000"/>
          <w:sz w:val="18"/>
          <w:szCs w:val="18"/>
          <w:shd w:val="clear" w:color="auto" w:fill="FFFFFF"/>
          <w:lang w:val="en-US"/>
        </w:rPr>
        <w:t>EN</w:t>
      </w:r>
      <w:r w:rsidR="000B7AE2" w:rsidRPr="000B7AE2">
        <w:rPr>
          <w:rFonts w:ascii="Cambria" w:hAnsi="Cambria" w:cstheme="majorHAnsi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0B7AE2">
        <w:rPr>
          <w:rFonts w:ascii="Cambria" w:hAnsi="Cambria" w:cstheme="majorHAnsi"/>
          <w:color w:val="000000"/>
          <w:sz w:val="18"/>
          <w:szCs w:val="18"/>
          <w:shd w:val="clear" w:color="auto" w:fill="FFFFFF"/>
          <w:lang w:val="en-US"/>
        </w:rPr>
        <w:t>ISO</w:t>
      </w:r>
      <w:r w:rsidRPr="000B7AE2">
        <w:rPr>
          <w:rFonts w:ascii="Cambria" w:hAnsi="Cambria" w:cstheme="majorHAnsi"/>
          <w:color w:val="000000"/>
          <w:sz w:val="18"/>
          <w:szCs w:val="18"/>
          <w:shd w:val="clear" w:color="auto" w:fill="FFFFFF"/>
          <w:lang w:val="uk-UA"/>
        </w:rPr>
        <w:t>/</w:t>
      </w:r>
      <w:r w:rsidRPr="000B7AE2">
        <w:rPr>
          <w:rFonts w:ascii="Cambria" w:hAnsi="Cambria" w:cstheme="majorHAnsi"/>
          <w:color w:val="000000"/>
          <w:sz w:val="18"/>
          <w:szCs w:val="18"/>
          <w:shd w:val="clear" w:color="auto" w:fill="FFFFFF"/>
          <w:lang w:val="en-US"/>
        </w:rPr>
        <w:t>IEC</w:t>
      </w:r>
      <w:r w:rsidRPr="000B7AE2">
        <w:rPr>
          <w:rFonts w:ascii="Cambria" w:hAnsi="Cambria" w:cstheme="majorHAnsi"/>
          <w:color w:val="000000"/>
          <w:sz w:val="18"/>
          <w:szCs w:val="18"/>
          <w:shd w:val="clear" w:color="auto" w:fill="FFFFFF"/>
        </w:rPr>
        <w:t> </w:t>
      </w:r>
      <w:r w:rsidRPr="000B7AE2">
        <w:rPr>
          <w:rFonts w:ascii="Cambria" w:hAnsi="Cambria" w:cstheme="majorHAnsi"/>
          <w:color w:val="000000"/>
          <w:sz w:val="18"/>
          <w:szCs w:val="18"/>
          <w:shd w:val="clear" w:color="auto" w:fill="FFFFFF"/>
          <w:lang w:val="uk-UA"/>
        </w:rPr>
        <w:t xml:space="preserve">17025:2019 </w:t>
      </w:r>
      <w:r w:rsidRPr="000B7AE2">
        <w:rPr>
          <w:rFonts w:ascii="Cambria" w:eastAsia="Times New Roman" w:hAnsi="Cambria" w:cstheme="minorHAnsi"/>
          <w:sz w:val="18"/>
          <w:szCs w:val="18"/>
          <w:lang w:val="uk-UA"/>
        </w:rPr>
        <w:t xml:space="preserve">«Загальні вимоги до компетентності випробувальних та калібрувальних лабораторій» за стандартами, </w:t>
      </w:r>
      <w:r w:rsidR="00B736D7">
        <w:rPr>
          <w:rFonts w:ascii="Cambria" w:eastAsia="Times New Roman" w:hAnsi="Cambria" w:cstheme="minorHAnsi"/>
          <w:sz w:val="18"/>
          <w:szCs w:val="18"/>
          <w:lang w:val="uk-UA"/>
        </w:rPr>
        <w:t>Додатку 3 Технічного регламенту щодо вимог до екодизайну для побутових ламп неспрямовано</w:t>
      </w:r>
      <w:r w:rsidR="005544FB">
        <w:rPr>
          <w:rFonts w:ascii="Cambria" w:eastAsia="Times New Roman" w:hAnsi="Cambria" w:cstheme="minorHAnsi"/>
          <w:sz w:val="18"/>
          <w:szCs w:val="18"/>
          <w:lang w:val="uk-UA"/>
        </w:rPr>
        <w:t>го</w:t>
      </w:r>
      <w:r w:rsidR="00B736D7">
        <w:rPr>
          <w:rFonts w:ascii="Cambria" w:eastAsia="Times New Roman" w:hAnsi="Cambria" w:cstheme="minorHAnsi"/>
          <w:sz w:val="18"/>
          <w:szCs w:val="18"/>
          <w:lang w:val="uk-UA"/>
        </w:rPr>
        <w:t xml:space="preserve"> випромінення, </w:t>
      </w:r>
      <w:r w:rsidR="00450E2F">
        <w:rPr>
          <w:rFonts w:ascii="Cambria" w:eastAsia="Times New Roman" w:hAnsi="Cambria" w:cstheme="minorHAnsi"/>
          <w:sz w:val="18"/>
          <w:szCs w:val="18"/>
          <w:lang w:val="uk-UA"/>
        </w:rPr>
        <w:t xml:space="preserve">які стосуються вимірювання середнього світлового </w:t>
      </w:r>
      <w:r w:rsidR="00450E2F" w:rsidRPr="00B148B0">
        <w:rPr>
          <w:rFonts w:ascii="Cambria" w:eastAsia="Times New Roman" w:hAnsi="Cambria" w:cstheme="minorHAnsi"/>
          <w:sz w:val="18"/>
          <w:szCs w:val="18"/>
          <w:lang w:val="uk-UA"/>
        </w:rPr>
        <w:t>потоку та середньої потужності для компактних люмінесцентних ламп та ламп розжарювання.</w:t>
      </w:r>
      <w:r w:rsidR="00B736D7" w:rsidRPr="00B148B0">
        <w:rPr>
          <w:rFonts w:ascii="Cambria" w:eastAsia="Times New Roman" w:hAnsi="Cambria" w:cstheme="minorHAnsi"/>
          <w:sz w:val="18"/>
          <w:szCs w:val="18"/>
          <w:lang w:val="uk-UA"/>
        </w:rPr>
        <w:t xml:space="preserve"> </w:t>
      </w:r>
      <w:r w:rsidR="00B736D7" w:rsidRPr="00B148B0">
        <w:rPr>
          <w:rFonts w:ascii="Cambria" w:hAnsi="Cambria" w:cstheme="minorHAnsi"/>
          <w:sz w:val="18"/>
          <w:szCs w:val="18"/>
          <w:lang w:val="uk-UA"/>
        </w:rPr>
        <w:t>Д</w:t>
      </w:r>
      <w:r w:rsidR="00B736D7" w:rsidRPr="00B148B0">
        <w:rPr>
          <w:rFonts w:ascii="Cambria" w:hAnsi="Cambria"/>
          <w:sz w:val="18"/>
          <w:szCs w:val="18"/>
          <w:lang w:val="uk-UA"/>
        </w:rPr>
        <w:t xml:space="preserve">ля підтвердження  </w:t>
      </w:r>
      <w:r w:rsidR="00B736D7" w:rsidRPr="00B148B0">
        <w:rPr>
          <w:rFonts w:ascii="Cambria" w:hAnsi="Cambria"/>
          <w:b/>
          <w:sz w:val="18"/>
          <w:szCs w:val="18"/>
          <w:lang w:val="uk-UA"/>
        </w:rPr>
        <w:t xml:space="preserve">надати </w:t>
      </w:r>
      <w:r w:rsidR="00B736D7" w:rsidRPr="00B148B0">
        <w:rPr>
          <w:rFonts w:ascii="Cambria" w:hAnsi="Cambria"/>
          <w:bCs/>
          <w:sz w:val="18"/>
          <w:szCs w:val="18"/>
          <w:lang w:val="uk-UA"/>
        </w:rPr>
        <w:t xml:space="preserve">завірену копію Атестату про акредитацію відповідно до вимог ДСТУ </w:t>
      </w:r>
      <w:r w:rsidR="00B736D7" w:rsidRPr="00B148B0">
        <w:rPr>
          <w:rFonts w:ascii="Cambria" w:hAnsi="Cambria"/>
          <w:bCs/>
          <w:sz w:val="18"/>
          <w:szCs w:val="18"/>
          <w:lang w:val="en-US"/>
        </w:rPr>
        <w:t>EN</w:t>
      </w:r>
      <w:r w:rsidR="00B736D7" w:rsidRPr="00B148B0">
        <w:rPr>
          <w:rFonts w:ascii="Cambria" w:hAnsi="Cambria"/>
          <w:bCs/>
          <w:sz w:val="18"/>
          <w:szCs w:val="18"/>
          <w:lang w:val="uk-UA"/>
        </w:rPr>
        <w:t xml:space="preserve"> ISO/IEC 17025:2019 з додатками;</w:t>
      </w:r>
    </w:p>
    <w:p w14:paraId="393CE605" w14:textId="115F637D" w:rsidR="0041789E" w:rsidRPr="00B148B0" w:rsidRDefault="0041789E" w:rsidP="005544FB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-425" w:firstLine="68"/>
        <w:jc w:val="both"/>
        <w:rPr>
          <w:rFonts w:ascii="Cambria" w:hAnsi="Cambria" w:cstheme="minorHAnsi"/>
          <w:sz w:val="18"/>
          <w:szCs w:val="18"/>
          <w:lang w:val="uk-UA"/>
        </w:rPr>
      </w:pPr>
      <w:r w:rsidRPr="00DD61E4">
        <w:rPr>
          <w:rFonts w:ascii="Cambria" w:eastAsia="Times New Roman" w:hAnsi="Cambria" w:cstheme="minorHAnsi"/>
          <w:sz w:val="18"/>
          <w:szCs w:val="18"/>
          <w:lang w:val="uk-UA"/>
        </w:rPr>
        <w:t xml:space="preserve">Учасник повинен входити до складу органу з оцінки відповідності, включеного до Реєстру ООВ, призначених </w:t>
      </w:r>
      <w:proofErr w:type="spellStart"/>
      <w:r w:rsidRPr="00DD61E4">
        <w:rPr>
          <w:rFonts w:ascii="Cambria" w:eastAsia="Times New Roman" w:hAnsi="Cambria" w:cstheme="minorHAnsi"/>
          <w:sz w:val="18"/>
          <w:szCs w:val="18"/>
          <w:lang w:val="uk-UA"/>
        </w:rPr>
        <w:t>Мінекономрозвитку</w:t>
      </w:r>
      <w:proofErr w:type="spellEnd"/>
      <w:r w:rsidRPr="00DD61E4">
        <w:rPr>
          <w:rFonts w:ascii="Cambria" w:eastAsia="Times New Roman" w:hAnsi="Cambria" w:cstheme="minorHAnsi"/>
          <w:sz w:val="18"/>
          <w:szCs w:val="18"/>
          <w:lang w:val="uk-UA"/>
        </w:rPr>
        <w:t xml:space="preserve"> України на виконання робіт з оцінки відповідності продукції, що перевіряється, вимогам технічних </w:t>
      </w:r>
      <w:r w:rsidRPr="00B148B0">
        <w:rPr>
          <w:rFonts w:ascii="Cambria" w:eastAsia="Times New Roman" w:hAnsi="Cambria" w:cstheme="minorHAnsi"/>
          <w:sz w:val="18"/>
          <w:szCs w:val="18"/>
          <w:lang w:val="uk-UA"/>
        </w:rPr>
        <w:t>регламентів.</w:t>
      </w:r>
      <w:r w:rsidR="00371641" w:rsidRPr="00B148B0">
        <w:rPr>
          <w:rFonts w:ascii="Cambria" w:eastAsia="Times New Roman" w:hAnsi="Cambria" w:cstheme="minorHAnsi"/>
          <w:sz w:val="18"/>
          <w:szCs w:val="18"/>
          <w:lang w:val="uk-UA"/>
        </w:rPr>
        <w:t xml:space="preserve"> Для підтвердження надати завірену копію </w:t>
      </w:r>
      <w:r w:rsidR="00B148B0" w:rsidRPr="00B148B0">
        <w:rPr>
          <w:rFonts w:ascii="Cambria" w:eastAsia="Times New Roman" w:hAnsi="Cambria" w:cstheme="minorHAnsi"/>
          <w:sz w:val="18"/>
          <w:szCs w:val="18"/>
          <w:lang w:val="uk-UA"/>
        </w:rPr>
        <w:t>витягу з реєстру ООВ.</w:t>
      </w:r>
    </w:p>
    <w:p w14:paraId="40E1248B" w14:textId="38B91741" w:rsidR="00450E2F" w:rsidRPr="00DD61E4" w:rsidRDefault="00450E2F" w:rsidP="005544FB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-425" w:firstLine="68"/>
        <w:jc w:val="both"/>
        <w:rPr>
          <w:rFonts w:ascii="Cambria" w:hAnsi="Cambria" w:cstheme="minorHAnsi"/>
          <w:sz w:val="18"/>
          <w:szCs w:val="18"/>
          <w:lang w:val="uk-UA"/>
        </w:rPr>
      </w:pPr>
      <w:r>
        <w:rPr>
          <w:rFonts w:ascii="Cambria" w:eastAsia="Times New Roman" w:hAnsi="Cambria" w:cstheme="minorHAnsi"/>
          <w:sz w:val="18"/>
          <w:szCs w:val="18"/>
          <w:lang w:val="uk-UA"/>
        </w:rPr>
        <w:t>Учасник не повинен мати обмежень сфери акредитації щодо вимірювання середнього світлового потоку та середньої потужності для компактних люмінесцентних ламп та ламп розжарювання.</w:t>
      </w:r>
    </w:p>
    <w:p w14:paraId="5868DABD" w14:textId="56573B46" w:rsidR="0041789E" w:rsidRPr="00DD61E4" w:rsidRDefault="0041789E" w:rsidP="005544FB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-425" w:firstLine="68"/>
        <w:jc w:val="both"/>
        <w:rPr>
          <w:rFonts w:ascii="Cambria" w:hAnsi="Cambria" w:cstheme="minorHAnsi"/>
          <w:sz w:val="18"/>
          <w:szCs w:val="18"/>
          <w:lang w:val="uk-UA"/>
        </w:rPr>
      </w:pPr>
      <w:r w:rsidRPr="00DD61E4">
        <w:rPr>
          <w:rFonts w:ascii="Cambria" w:eastAsia="Times New Roman" w:hAnsi="Cambria" w:cstheme="minorHAnsi"/>
          <w:sz w:val="18"/>
          <w:szCs w:val="18"/>
          <w:lang w:val="uk-UA"/>
        </w:rPr>
        <w:t xml:space="preserve">Відповідно до </w:t>
      </w:r>
      <w:bookmarkStart w:id="2" w:name="_Hlk32572470"/>
      <w:r w:rsidRPr="00DD61E4">
        <w:rPr>
          <w:rFonts w:ascii="Cambria" w:eastAsia="Times New Roman" w:hAnsi="Cambria" w:cstheme="minorHAnsi"/>
          <w:sz w:val="18"/>
          <w:szCs w:val="18"/>
          <w:lang w:val="uk-UA"/>
        </w:rPr>
        <w:t>частини 7 статті 27 Закону України «Про державний ринковий нагляд і контроль нехарчової продукції</w:t>
      </w:r>
      <w:r w:rsidRPr="00450E2F">
        <w:rPr>
          <w:rFonts w:ascii="Cambria" w:eastAsia="Times New Roman" w:hAnsi="Cambria" w:cstheme="minorHAnsi"/>
          <w:color w:val="auto"/>
          <w:sz w:val="18"/>
          <w:szCs w:val="18"/>
          <w:lang w:val="uk-UA"/>
        </w:rPr>
        <w:t>»</w:t>
      </w:r>
      <w:r w:rsidRPr="00DD61E4">
        <w:rPr>
          <w:rFonts w:ascii="Cambria" w:eastAsia="Times New Roman" w:hAnsi="Cambria" w:cstheme="minorHAnsi"/>
          <w:color w:val="auto"/>
          <w:sz w:val="18"/>
          <w:szCs w:val="18"/>
          <w:u w:val="single"/>
          <w:lang w:val="uk-UA"/>
        </w:rPr>
        <w:t xml:space="preserve"> </w:t>
      </w:r>
      <w:bookmarkEnd w:id="2"/>
      <w:r w:rsidR="00450E2F">
        <w:rPr>
          <w:rFonts w:ascii="Cambria" w:eastAsia="Times New Roman" w:hAnsi="Cambria" w:cstheme="minorHAnsi"/>
          <w:color w:val="auto"/>
          <w:sz w:val="18"/>
          <w:szCs w:val="18"/>
          <w:u w:val="single"/>
          <w:lang w:val="uk-UA"/>
        </w:rPr>
        <w:t>термін дослідження</w:t>
      </w:r>
      <w:r w:rsidRPr="00DD61E4">
        <w:rPr>
          <w:rFonts w:ascii="Cambria" w:eastAsia="Times New Roman" w:hAnsi="Cambria" w:cstheme="minorHAnsi"/>
          <w:color w:val="auto"/>
          <w:sz w:val="18"/>
          <w:szCs w:val="18"/>
          <w:u w:val="single"/>
          <w:lang w:val="uk-UA"/>
        </w:rPr>
        <w:t xml:space="preserve"> не може перевищувати тридцяти робочих днів з дня прийняття рішення про її проведення</w:t>
      </w:r>
      <w:r w:rsidRPr="00DD61E4">
        <w:rPr>
          <w:rFonts w:ascii="Cambria" w:eastAsia="Times New Roman" w:hAnsi="Cambria" w:cstheme="minorHAnsi"/>
          <w:color w:val="auto"/>
          <w:sz w:val="18"/>
          <w:szCs w:val="18"/>
          <w:lang w:val="uk-UA"/>
        </w:rPr>
        <w:t xml:space="preserve">. </w:t>
      </w:r>
      <w:bookmarkStart w:id="3" w:name="_Hlk32501027"/>
      <w:r w:rsidRPr="00DD61E4">
        <w:rPr>
          <w:rFonts w:ascii="Cambria" w:eastAsia="Times New Roman" w:hAnsi="Cambria" w:cstheme="minorHAnsi"/>
          <w:color w:val="auto"/>
          <w:sz w:val="18"/>
          <w:szCs w:val="18"/>
          <w:lang w:val="uk-UA"/>
        </w:rPr>
        <w:t>Цей строк може бути більшим у разі, якщо методикою проведення експертизи (випробувань)  зразків продукції</w:t>
      </w:r>
      <w:r w:rsidRPr="00DD61E4">
        <w:rPr>
          <w:rFonts w:ascii="Cambria" w:eastAsia="Times New Roman" w:hAnsi="Cambria" w:cstheme="minorHAnsi"/>
          <w:sz w:val="18"/>
          <w:szCs w:val="18"/>
          <w:lang w:val="uk-UA"/>
        </w:rPr>
        <w:t xml:space="preserve"> передбачено більш тривалий час для її проведення</w:t>
      </w:r>
      <w:bookmarkEnd w:id="3"/>
      <w:r w:rsidRPr="00DD61E4">
        <w:rPr>
          <w:rFonts w:ascii="Cambria" w:eastAsia="Times New Roman" w:hAnsi="Cambria" w:cstheme="minorHAnsi"/>
          <w:sz w:val="18"/>
          <w:szCs w:val="18"/>
          <w:lang w:val="uk-UA"/>
        </w:rPr>
        <w:t>.</w:t>
      </w:r>
    </w:p>
    <w:p w14:paraId="499C7760" w14:textId="4902C114" w:rsidR="0041789E" w:rsidRPr="0041789E" w:rsidRDefault="0041789E" w:rsidP="005544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-425" w:firstLine="68"/>
        <w:jc w:val="both"/>
        <w:rPr>
          <w:rFonts w:ascii="Cambria" w:hAnsi="Cambria" w:cstheme="minorHAnsi"/>
          <w:sz w:val="18"/>
          <w:szCs w:val="18"/>
          <w:lang w:val="uk-UA"/>
        </w:rPr>
      </w:pPr>
      <w:bookmarkStart w:id="4" w:name="_Hlk32574943"/>
      <w:r w:rsidRPr="0041789E">
        <w:rPr>
          <w:rFonts w:ascii="Cambria" w:hAnsi="Cambria" w:cstheme="minorHAnsi"/>
          <w:sz w:val="18"/>
          <w:szCs w:val="18"/>
          <w:lang w:val="uk-UA"/>
        </w:rPr>
        <w:t xml:space="preserve">За результатами досліджень виконавцем (Учасником) </w:t>
      </w:r>
      <w:r w:rsidR="00450E2F">
        <w:rPr>
          <w:rFonts w:ascii="Cambria" w:hAnsi="Cambria" w:cstheme="minorHAnsi"/>
          <w:sz w:val="18"/>
          <w:szCs w:val="18"/>
          <w:u w:val="single"/>
          <w:lang w:val="uk-UA"/>
        </w:rPr>
        <w:t>надається протокол випробувань з висновком</w:t>
      </w:r>
      <w:bookmarkStart w:id="5" w:name="_Hlk32572041"/>
      <w:bookmarkStart w:id="6" w:name="_Hlk32572348"/>
      <w:r w:rsidR="00450E2F">
        <w:rPr>
          <w:rFonts w:ascii="Cambria" w:hAnsi="Cambria" w:cstheme="minorHAnsi"/>
          <w:sz w:val="18"/>
          <w:szCs w:val="18"/>
          <w:lang w:val="uk-UA"/>
        </w:rPr>
        <w:t xml:space="preserve"> щодо </w:t>
      </w:r>
      <w:r w:rsidRPr="0041789E">
        <w:rPr>
          <w:rFonts w:ascii="Cambria" w:hAnsi="Cambria" w:cstheme="minorHAnsi"/>
          <w:sz w:val="18"/>
          <w:szCs w:val="18"/>
          <w:lang w:val="uk-UA"/>
        </w:rPr>
        <w:t xml:space="preserve"> відповідн</w:t>
      </w:r>
      <w:r w:rsidR="00450E2F">
        <w:rPr>
          <w:rFonts w:ascii="Cambria" w:hAnsi="Cambria" w:cstheme="minorHAnsi"/>
          <w:sz w:val="18"/>
          <w:szCs w:val="18"/>
          <w:lang w:val="uk-UA"/>
        </w:rPr>
        <w:t>о</w:t>
      </w:r>
      <w:r w:rsidRPr="0041789E">
        <w:rPr>
          <w:rFonts w:ascii="Cambria" w:hAnsi="Cambria" w:cstheme="minorHAnsi"/>
          <w:sz w:val="18"/>
          <w:szCs w:val="18"/>
          <w:lang w:val="uk-UA"/>
        </w:rPr>
        <w:t>ст</w:t>
      </w:r>
      <w:r w:rsidR="00450E2F">
        <w:rPr>
          <w:rFonts w:ascii="Cambria" w:hAnsi="Cambria" w:cstheme="minorHAnsi"/>
          <w:sz w:val="18"/>
          <w:szCs w:val="18"/>
          <w:lang w:val="uk-UA"/>
        </w:rPr>
        <w:t>і</w:t>
      </w:r>
      <w:r w:rsidR="007862BD">
        <w:rPr>
          <w:rFonts w:ascii="Cambria" w:hAnsi="Cambria" w:cstheme="minorHAnsi"/>
          <w:sz w:val="18"/>
          <w:szCs w:val="18"/>
          <w:lang w:val="uk-UA"/>
        </w:rPr>
        <w:t xml:space="preserve"> (</w:t>
      </w:r>
      <w:r w:rsidRPr="0041789E">
        <w:rPr>
          <w:rFonts w:ascii="Cambria" w:hAnsi="Cambria" w:cstheme="minorHAnsi"/>
          <w:sz w:val="18"/>
          <w:szCs w:val="18"/>
          <w:lang w:val="uk-UA"/>
        </w:rPr>
        <w:t>невідповідн</w:t>
      </w:r>
      <w:r w:rsidR="007862BD">
        <w:rPr>
          <w:rFonts w:ascii="Cambria" w:hAnsi="Cambria" w:cstheme="minorHAnsi"/>
          <w:sz w:val="18"/>
          <w:szCs w:val="18"/>
          <w:lang w:val="uk-UA"/>
        </w:rPr>
        <w:t>о</w:t>
      </w:r>
      <w:r w:rsidRPr="0041789E">
        <w:rPr>
          <w:rFonts w:ascii="Cambria" w:hAnsi="Cambria" w:cstheme="minorHAnsi"/>
          <w:sz w:val="18"/>
          <w:szCs w:val="18"/>
          <w:lang w:val="uk-UA"/>
        </w:rPr>
        <w:t>ст</w:t>
      </w:r>
      <w:r w:rsidR="007862BD">
        <w:rPr>
          <w:rFonts w:ascii="Cambria" w:hAnsi="Cambria" w:cstheme="minorHAnsi"/>
          <w:sz w:val="18"/>
          <w:szCs w:val="18"/>
          <w:lang w:val="uk-UA"/>
        </w:rPr>
        <w:t>і)</w:t>
      </w:r>
      <w:r w:rsidRPr="0041789E">
        <w:rPr>
          <w:rFonts w:ascii="Cambria" w:hAnsi="Cambria" w:cstheme="minorHAnsi"/>
          <w:sz w:val="18"/>
          <w:szCs w:val="18"/>
          <w:lang w:val="uk-UA"/>
        </w:rPr>
        <w:t xml:space="preserve"> встановленим вимогам </w:t>
      </w:r>
      <w:bookmarkEnd w:id="4"/>
      <w:r w:rsidR="007862BD">
        <w:rPr>
          <w:rFonts w:ascii="Cambria" w:hAnsi="Cambria" w:cstheme="minorHAnsi"/>
          <w:sz w:val="18"/>
          <w:szCs w:val="18"/>
          <w:lang w:val="uk-UA"/>
        </w:rPr>
        <w:t>стандартів Додатку 3 Технічного регламенту</w:t>
      </w:r>
      <w:r w:rsidRPr="0041789E">
        <w:rPr>
          <w:rFonts w:ascii="Cambria" w:hAnsi="Cambria" w:cstheme="minorHAnsi"/>
          <w:sz w:val="18"/>
          <w:szCs w:val="18"/>
          <w:lang w:val="uk-UA"/>
        </w:rPr>
        <w:t>.</w:t>
      </w:r>
      <w:bookmarkEnd w:id="5"/>
    </w:p>
    <w:bookmarkEnd w:id="6"/>
    <w:p w14:paraId="129C7B3D" w14:textId="69C00049" w:rsidR="0041789E" w:rsidRPr="00B148B0" w:rsidRDefault="007862BD" w:rsidP="005544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-425" w:firstLine="68"/>
        <w:jc w:val="both"/>
        <w:rPr>
          <w:rFonts w:ascii="Cambria" w:hAnsi="Cambria" w:cstheme="minorHAnsi"/>
          <w:sz w:val="18"/>
          <w:szCs w:val="18"/>
          <w:lang w:val="uk-UA"/>
        </w:rPr>
      </w:pPr>
      <w:r w:rsidRPr="007862BD">
        <w:rPr>
          <w:rFonts w:ascii="Cambria" w:hAnsi="Cambria" w:cstheme="minorHAnsi"/>
          <w:sz w:val="18"/>
          <w:szCs w:val="18"/>
          <w:lang w:val="uk-UA"/>
        </w:rPr>
        <w:lastRenderedPageBreak/>
        <w:t>Відповідно до Порядку реалізації та знищення використаних під час проведен</w:t>
      </w:r>
      <w:r w:rsidR="00371641">
        <w:rPr>
          <w:rFonts w:ascii="Cambria" w:hAnsi="Cambria" w:cstheme="minorHAnsi"/>
          <w:sz w:val="18"/>
          <w:szCs w:val="18"/>
          <w:lang w:val="uk-UA"/>
        </w:rPr>
        <w:t>н</w:t>
      </w:r>
      <w:r w:rsidRPr="007862BD">
        <w:rPr>
          <w:rFonts w:ascii="Cambria" w:hAnsi="Cambria" w:cstheme="minorHAnsi"/>
          <w:sz w:val="18"/>
          <w:szCs w:val="18"/>
          <w:lang w:val="uk-UA"/>
        </w:rPr>
        <w:t>я експертизи (випробування) зразків нехарчової продукції, що були відібрані в межах здійснення державного ринкового нагляду, затвердженого Постановою KM</w:t>
      </w:r>
      <w:r>
        <w:rPr>
          <w:rFonts w:ascii="Cambria" w:hAnsi="Cambria" w:cstheme="minorHAnsi"/>
          <w:sz w:val="18"/>
          <w:szCs w:val="18"/>
          <w:lang w:val="uk-UA"/>
        </w:rPr>
        <w:t>У</w:t>
      </w:r>
      <w:r w:rsidRPr="007862BD">
        <w:rPr>
          <w:rFonts w:ascii="Cambria" w:hAnsi="Cambria" w:cstheme="minorHAnsi"/>
          <w:sz w:val="18"/>
          <w:szCs w:val="18"/>
          <w:lang w:val="uk-UA"/>
        </w:rPr>
        <w:t xml:space="preserve"> від 26 грудня 2011 року N 1406 «Питан</w:t>
      </w:r>
      <w:r>
        <w:rPr>
          <w:rFonts w:ascii="Cambria" w:hAnsi="Cambria" w:cstheme="minorHAnsi"/>
          <w:sz w:val="18"/>
          <w:szCs w:val="18"/>
          <w:lang w:val="uk-UA"/>
        </w:rPr>
        <w:t>н</w:t>
      </w:r>
      <w:r w:rsidRPr="007862BD">
        <w:rPr>
          <w:rFonts w:ascii="Cambria" w:hAnsi="Cambria" w:cstheme="minorHAnsi"/>
          <w:sz w:val="18"/>
          <w:szCs w:val="18"/>
          <w:lang w:val="uk-UA"/>
        </w:rPr>
        <w:t>я реалізації та знищення використаних під час проведен</w:t>
      </w:r>
      <w:r w:rsidR="00371641">
        <w:rPr>
          <w:rFonts w:ascii="Cambria" w:hAnsi="Cambria" w:cstheme="minorHAnsi"/>
          <w:sz w:val="18"/>
          <w:szCs w:val="18"/>
          <w:lang w:val="uk-UA"/>
        </w:rPr>
        <w:t>н</w:t>
      </w:r>
      <w:r w:rsidRPr="007862BD">
        <w:rPr>
          <w:rFonts w:ascii="Cambria" w:hAnsi="Cambria" w:cstheme="minorHAnsi"/>
          <w:sz w:val="18"/>
          <w:szCs w:val="18"/>
          <w:lang w:val="uk-UA"/>
        </w:rPr>
        <w:t xml:space="preserve">я експертизи (випробування) зразків нехарчової продукції, що були відібрані в межах здійснення державного ринкового нагляду», </w:t>
      </w:r>
      <w:r>
        <w:rPr>
          <w:rFonts w:ascii="Cambria" w:hAnsi="Cambria" w:cstheme="minorHAnsi"/>
          <w:sz w:val="18"/>
          <w:szCs w:val="18"/>
          <w:lang w:val="uk-UA"/>
        </w:rPr>
        <w:t>Учасник (</w:t>
      </w:r>
      <w:bookmarkStart w:id="7" w:name="_Hlk158373695"/>
      <w:r w:rsidRPr="007862BD">
        <w:rPr>
          <w:rFonts w:ascii="Cambria" w:hAnsi="Cambria" w:cstheme="minorHAnsi"/>
          <w:sz w:val="18"/>
          <w:szCs w:val="18"/>
          <w:lang w:val="uk-UA"/>
        </w:rPr>
        <w:t>Виконавець</w:t>
      </w:r>
      <w:r>
        <w:rPr>
          <w:rFonts w:ascii="Cambria" w:hAnsi="Cambria" w:cstheme="minorHAnsi"/>
          <w:sz w:val="18"/>
          <w:szCs w:val="18"/>
          <w:lang w:val="uk-UA"/>
        </w:rPr>
        <w:t>)</w:t>
      </w:r>
      <w:r w:rsidRPr="007862BD">
        <w:rPr>
          <w:rFonts w:ascii="Cambria" w:hAnsi="Cambria" w:cstheme="minorHAnsi"/>
          <w:sz w:val="18"/>
          <w:szCs w:val="18"/>
          <w:lang w:val="uk-UA"/>
        </w:rPr>
        <w:t xml:space="preserve"> в обов'язковому порядку встановлює значен</w:t>
      </w:r>
      <w:r>
        <w:rPr>
          <w:rFonts w:ascii="Cambria" w:hAnsi="Cambria" w:cstheme="minorHAnsi"/>
          <w:sz w:val="18"/>
          <w:szCs w:val="18"/>
          <w:lang w:val="uk-UA"/>
        </w:rPr>
        <w:t>н</w:t>
      </w:r>
      <w:r w:rsidRPr="007862BD">
        <w:rPr>
          <w:rFonts w:ascii="Cambria" w:hAnsi="Cambria" w:cstheme="minorHAnsi"/>
          <w:sz w:val="18"/>
          <w:szCs w:val="18"/>
          <w:lang w:val="uk-UA"/>
        </w:rPr>
        <w:t>я коефіцієнта зносу використаної продукції внаслідок проведення експертизи (випробування) (далі- коефіцієнта зносу (</w:t>
      </w:r>
      <w:proofErr w:type="spellStart"/>
      <w:r w:rsidRPr="007862BD">
        <w:rPr>
          <w:rFonts w:ascii="Cambria" w:hAnsi="Cambria" w:cstheme="minorHAnsi"/>
          <w:sz w:val="18"/>
          <w:szCs w:val="18"/>
          <w:lang w:val="uk-UA"/>
        </w:rPr>
        <w:t>Кзн</w:t>
      </w:r>
      <w:proofErr w:type="spellEnd"/>
      <w:r w:rsidRPr="007862BD">
        <w:rPr>
          <w:rFonts w:ascii="Cambria" w:hAnsi="Cambria" w:cstheme="minorHAnsi"/>
          <w:sz w:val="18"/>
          <w:szCs w:val="18"/>
          <w:lang w:val="uk-UA"/>
        </w:rPr>
        <w:t xml:space="preserve">), за винятком зразків продукції, що </w:t>
      </w:r>
      <w:r>
        <w:rPr>
          <w:rFonts w:ascii="Cambria" w:hAnsi="Cambria" w:cstheme="minorHAnsi"/>
          <w:sz w:val="18"/>
          <w:szCs w:val="18"/>
          <w:lang w:val="uk-UA"/>
        </w:rPr>
        <w:t>є</w:t>
      </w:r>
      <w:r w:rsidRPr="007862BD">
        <w:rPr>
          <w:rFonts w:ascii="Cambria" w:hAnsi="Cambria" w:cstheme="minorHAnsi"/>
          <w:sz w:val="18"/>
          <w:szCs w:val="18"/>
          <w:lang w:val="uk-UA"/>
        </w:rPr>
        <w:t xml:space="preserve"> небезпечними, становлять ризик та/або не відповідають встановленим вимогам щодо ïx безпечності, та разом з протоколом випробувань надають довідку про значен</w:t>
      </w:r>
      <w:r>
        <w:rPr>
          <w:rFonts w:ascii="Cambria" w:hAnsi="Cambria" w:cstheme="minorHAnsi"/>
          <w:sz w:val="18"/>
          <w:szCs w:val="18"/>
          <w:lang w:val="uk-UA"/>
        </w:rPr>
        <w:t>н</w:t>
      </w:r>
      <w:r w:rsidRPr="007862BD">
        <w:rPr>
          <w:rFonts w:ascii="Cambria" w:hAnsi="Cambria" w:cstheme="minorHAnsi"/>
          <w:sz w:val="18"/>
          <w:szCs w:val="18"/>
          <w:lang w:val="uk-UA"/>
        </w:rPr>
        <w:t>я коефіцієнта зносу, для визначення залишкової вартості використаного зразка продукції</w:t>
      </w:r>
      <w:bookmarkEnd w:id="7"/>
      <w:r w:rsidRPr="007862BD">
        <w:rPr>
          <w:rFonts w:ascii="Cambria" w:hAnsi="Cambria" w:cstheme="minorHAnsi"/>
          <w:sz w:val="18"/>
          <w:szCs w:val="18"/>
          <w:lang w:val="uk-UA"/>
        </w:rPr>
        <w:t>.</w:t>
      </w:r>
      <w:r>
        <w:rPr>
          <w:rFonts w:ascii="Cambria" w:hAnsi="Cambria" w:cstheme="minorHAnsi"/>
          <w:sz w:val="18"/>
          <w:szCs w:val="18"/>
          <w:lang w:val="uk-UA"/>
        </w:rPr>
        <w:t xml:space="preserve"> </w:t>
      </w:r>
      <w:r w:rsidRPr="00B148B0">
        <w:rPr>
          <w:rFonts w:ascii="Cambria" w:hAnsi="Cambria"/>
          <w:sz w:val="18"/>
          <w:szCs w:val="18"/>
          <w:lang w:val="uk-UA"/>
        </w:rPr>
        <w:t xml:space="preserve">Для підтвердження </w:t>
      </w:r>
      <w:r w:rsidRPr="00B148B0">
        <w:rPr>
          <w:rFonts w:ascii="Cambria" w:hAnsi="Cambria"/>
          <w:b/>
          <w:bCs/>
          <w:sz w:val="18"/>
          <w:szCs w:val="18"/>
          <w:lang w:val="uk-UA"/>
        </w:rPr>
        <w:t>надати</w:t>
      </w:r>
      <w:r w:rsidRPr="00B148B0">
        <w:rPr>
          <w:rFonts w:ascii="Cambria" w:hAnsi="Cambria"/>
          <w:bCs/>
          <w:sz w:val="18"/>
          <w:szCs w:val="18"/>
          <w:lang w:val="uk-UA" w:eastAsia="ru-RU"/>
        </w:rPr>
        <w:t xml:space="preserve"> довідку у довільній формі.</w:t>
      </w:r>
    </w:p>
    <w:p w14:paraId="0B4DE73E" w14:textId="77777777" w:rsidR="006660D7" w:rsidRDefault="006660D7" w:rsidP="005544FB">
      <w:pPr>
        <w:tabs>
          <w:tab w:val="left" w:pos="-284"/>
          <w:tab w:val="left" w:pos="-142"/>
        </w:tabs>
        <w:ind w:left="-426"/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p w14:paraId="4FD19AFB" w14:textId="77777777" w:rsidR="00406FA7" w:rsidRDefault="00406FA7" w:rsidP="006660D7">
      <w:pPr>
        <w:tabs>
          <w:tab w:val="left" w:pos="284"/>
          <w:tab w:val="left" w:pos="426"/>
        </w:tabs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p w14:paraId="32A505AB" w14:textId="77777777" w:rsidR="00406FA7" w:rsidRPr="00AF5290" w:rsidRDefault="00406FA7" w:rsidP="00406FA7">
      <w:pPr>
        <w:jc w:val="both"/>
        <w:rPr>
          <w:rFonts w:ascii="Cambria" w:hAnsi="Cambria"/>
          <w:b/>
          <w:iCs/>
          <w:sz w:val="18"/>
          <w:szCs w:val="18"/>
          <w:lang w:val="uk-UA"/>
        </w:rPr>
      </w:pPr>
      <w:r w:rsidRPr="00AF5290">
        <w:rPr>
          <w:rFonts w:ascii="Cambria" w:hAnsi="Cambria"/>
          <w:b/>
          <w:iCs/>
          <w:sz w:val="18"/>
          <w:szCs w:val="18"/>
          <w:lang w:val="uk-UA"/>
        </w:rPr>
        <w:t xml:space="preserve">Будь-яке посилання на конкретну торгівельну марку чи фірму, патент, конструкцію або тип предмета закупівлі, джерело його походження або виробника в даній тендерній документації застосовується із виразом </w:t>
      </w:r>
      <w:r w:rsidRPr="00AF5290">
        <w:rPr>
          <w:rFonts w:ascii="Cambria" w:hAnsi="Cambria"/>
          <w:b/>
          <w:iCs/>
          <w:sz w:val="18"/>
          <w:szCs w:val="18"/>
          <w:u w:val="single"/>
          <w:lang w:val="uk-UA"/>
        </w:rPr>
        <w:t>«або еквівалент»</w:t>
      </w:r>
      <w:r w:rsidRPr="00AF5290">
        <w:rPr>
          <w:rFonts w:ascii="Cambria" w:hAnsi="Cambria"/>
          <w:b/>
          <w:iCs/>
          <w:sz w:val="18"/>
          <w:szCs w:val="18"/>
          <w:lang w:val="uk-UA"/>
        </w:rPr>
        <w:t>.</w:t>
      </w:r>
    </w:p>
    <w:p w14:paraId="37DCF4B8" w14:textId="77777777" w:rsidR="00406FA7" w:rsidRDefault="00406FA7" w:rsidP="006660D7">
      <w:pPr>
        <w:tabs>
          <w:tab w:val="left" w:pos="284"/>
          <w:tab w:val="left" w:pos="426"/>
        </w:tabs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p w14:paraId="13BDAA44" w14:textId="77777777" w:rsidR="00406FA7" w:rsidRDefault="00406FA7" w:rsidP="006660D7">
      <w:pPr>
        <w:tabs>
          <w:tab w:val="left" w:pos="284"/>
          <w:tab w:val="left" w:pos="426"/>
        </w:tabs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p w14:paraId="385AD0D7" w14:textId="77777777" w:rsidR="00406FA7" w:rsidRPr="00A80D37" w:rsidRDefault="00406FA7" w:rsidP="006660D7">
      <w:pPr>
        <w:tabs>
          <w:tab w:val="left" w:pos="284"/>
          <w:tab w:val="left" w:pos="426"/>
        </w:tabs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tbl>
      <w:tblPr>
        <w:tblW w:w="10375" w:type="dxa"/>
        <w:tblInd w:w="-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242EA5" w:rsidRPr="000C5021" w14:paraId="3BB5A61D" w14:textId="77777777" w:rsidTr="00933033">
        <w:tc>
          <w:tcPr>
            <w:tcW w:w="3342" w:type="dxa"/>
            <w:shd w:val="clear" w:color="auto" w:fill="auto"/>
          </w:tcPr>
          <w:p w14:paraId="582EE737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A691B40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4D4719CD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242EA5" w:rsidRPr="000C5021" w14:paraId="0D626B91" w14:textId="77777777" w:rsidTr="00933033">
        <w:tc>
          <w:tcPr>
            <w:tcW w:w="3342" w:type="dxa"/>
            <w:shd w:val="clear" w:color="auto" w:fill="auto"/>
          </w:tcPr>
          <w:p w14:paraId="42B27BCE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4445C6F" w14:textId="77777777" w:rsidR="00242EA5" w:rsidRPr="000C5021" w:rsidRDefault="00242EA5" w:rsidP="00933033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5D9AFCEB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1DE5A11C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13C55C97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57DC834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57620F9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FDBBF21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C404A8D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79167A1F" w14:textId="77777777" w:rsidR="00E53626" w:rsidRPr="00A80D37" w:rsidRDefault="00E53626">
      <w:pPr>
        <w:rPr>
          <w:rFonts w:ascii="Cambria" w:hAnsi="Cambria"/>
          <w:lang w:val="uk-UA"/>
        </w:rPr>
      </w:pPr>
    </w:p>
    <w:sectPr w:rsidR="00E53626" w:rsidRPr="00A80D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E42F7F6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position w:val="0"/>
        <w:sz w:val="24"/>
        <w:szCs w:val="22"/>
        <w:vertAlign w:val="baseline"/>
        <w:lang w:val="uk-UA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E6A20FB"/>
    <w:multiLevelType w:val="hybridMultilevel"/>
    <w:tmpl w:val="8B9EB19A"/>
    <w:lvl w:ilvl="0" w:tplc="DE620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01A01"/>
    <w:multiLevelType w:val="multilevel"/>
    <w:tmpl w:val="9ABC94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F4C4ACB"/>
    <w:multiLevelType w:val="multilevel"/>
    <w:tmpl w:val="31642D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909655606">
    <w:abstractNumId w:val="0"/>
  </w:num>
  <w:num w:numId="2" w16cid:durableId="128521885">
    <w:abstractNumId w:val="3"/>
  </w:num>
  <w:num w:numId="3" w16cid:durableId="290329901">
    <w:abstractNumId w:val="2"/>
  </w:num>
  <w:num w:numId="4" w16cid:durableId="773207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D7"/>
    <w:rsid w:val="0001434C"/>
    <w:rsid w:val="00063AB2"/>
    <w:rsid w:val="000B7AE2"/>
    <w:rsid w:val="000F1312"/>
    <w:rsid w:val="0011484E"/>
    <w:rsid w:val="001F0B9D"/>
    <w:rsid w:val="00207614"/>
    <w:rsid w:val="00242EA5"/>
    <w:rsid w:val="00243D08"/>
    <w:rsid w:val="00280787"/>
    <w:rsid w:val="00290282"/>
    <w:rsid w:val="002E2037"/>
    <w:rsid w:val="00333D61"/>
    <w:rsid w:val="00357AA6"/>
    <w:rsid w:val="003651D1"/>
    <w:rsid w:val="00371641"/>
    <w:rsid w:val="00392C1B"/>
    <w:rsid w:val="003A59A6"/>
    <w:rsid w:val="003D5EBE"/>
    <w:rsid w:val="00406FA7"/>
    <w:rsid w:val="0041789E"/>
    <w:rsid w:val="00450E2F"/>
    <w:rsid w:val="0049485A"/>
    <w:rsid w:val="004F50CC"/>
    <w:rsid w:val="0055233A"/>
    <w:rsid w:val="005544FB"/>
    <w:rsid w:val="005C1E41"/>
    <w:rsid w:val="005F7393"/>
    <w:rsid w:val="00625C46"/>
    <w:rsid w:val="00642CBB"/>
    <w:rsid w:val="006660D7"/>
    <w:rsid w:val="006B4A2F"/>
    <w:rsid w:val="0070726E"/>
    <w:rsid w:val="007862BD"/>
    <w:rsid w:val="00800B69"/>
    <w:rsid w:val="00817A0D"/>
    <w:rsid w:val="008C013C"/>
    <w:rsid w:val="008F5902"/>
    <w:rsid w:val="00945869"/>
    <w:rsid w:val="00947B8C"/>
    <w:rsid w:val="0096522B"/>
    <w:rsid w:val="00976CFB"/>
    <w:rsid w:val="00A513DE"/>
    <w:rsid w:val="00A80D37"/>
    <w:rsid w:val="00AE1C02"/>
    <w:rsid w:val="00AE368C"/>
    <w:rsid w:val="00AE5380"/>
    <w:rsid w:val="00AF5290"/>
    <w:rsid w:val="00B148B0"/>
    <w:rsid w:val="00B56CA2"/>
    <w:rsid w:val="00B736D7"/>
    <w:rsid w:val="00B923E2"/>
    <w:rsid w:val="00C0552E"/>
    <w:rsid w:val="00C7730C"/>
    <w:rsid w:val="00DD61E4"/>
    <w:rsid w:val="00E53626"/>
    <w:rsid w:val="00E76D23"/>
    <w:rsid w:val="00F0559A"/>
    <w:rsid w:val="00F260FC"/>
    <w:rsid w:val="00F673D2"/>
    <w:rsid w:val="00F91A7F"/>
    <w:rsid w:val="00FB1607"/>
    <w:rsid w:val="00FB4C2D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AC9A"/>
  <w15:docId w15:val="{716577DE-FDBF-4E1C-8D1E-654A945B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D7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0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660D7"/>
  </w:style>
  <w:style w:type="paragraph" w:styleId="a3">
    <w:name w:val="No Spacing"/>
    <w:aliases w:val="nado12,Bullet"/>
    <w:link w:val="a4"/>
    <w:uiPriority w:val="1"/>
    <w:qFormat/>
    <w:rsid w:val="006660D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0"/>
      <w:sz w:val="24"/>
      <w:lang w:val="ru-RU" w:eastAsia="zh-CN"/>
      <w14:ligatures w14:val="none"/>
    </w:rPr>
  </w:style>
  <w:style w:type="paragraph" w:customStyle="1" w:styleId="1">
    <w:name w:val="Обычный1"/>
    <w:uiPriority w:val="99"/>
    <w:rsid w:val="006660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43D08"/>
    <w:rPr>
      <w:rFonts w:ascii="Calibri" w:eastAsia="Times New Roman" w:hAnsi="Calibri" w:cs="Times New Roman"/>
      <w:color w:val="00000A"/>
      <w:kern w:val="0"/>
      <w:sz w:val="24"/>
      <w:lang w:val="ru-RU" w:eastAsia="zh-CN"/>
      <w14:ligatures w14:val="none"/>
    </w:rPr>
  </w:style>
  <w:style w:type="paragraph" w:styleId="a5">
    <w:name w:val="List Paragraph"/>
    <w:basedOn w:val="a"/>
    <w:uiPriority w:val="34"/>
    <w:qFormat/>
    <w:rsid w:val="000B7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3733</Words>
  <Characters>2129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 DPSS</dc:creator>
  <cp:keywords/>
  <dc:description/>
  <cp:lastModifiedBy>Org1 DPSS</cp:lastModifiedBy>
  <cp:revision>15</cp:revision>
  <cp:lastPrinted>2023-09-12T08:34:00Z</cp:lastPrinted>
  <dcterms:created xsi:type="dcterms:W3CDTF">2023-09-11T08:52:00Z</dcterms:created>
  <dcterms:modified xsi:type="dcterms:W3CDTF">2024-03-04T11:19:00Z</dcterms:modified>
</cp:coreProperties>
</file>