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2E83" w14:textId="77777777" w:rsidR="0085643E" w:rsidRDefault="00856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D2238" w14:textId="77777777" w:rsidR="0085643E" w:rsidRDefault="00161F00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5FA694E2" w14:textId="77777777" w:rsidR="0085643E" w:rsidRDefault="00161F00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14AA9A70" w14:textId="77777777" w:rsidR="0085643E" w:rsidRDefault="00161F00">
      <w:pPr>
        <w:spacing w:after="0" w:line="240" w:lineRule="auto"/>
        <w:ind w:left="566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6FF38996" w14:textId="77777777" w:rsidR="0085643E" w:rsidRDefault="00161F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6CF22398" w14:textId="77777777" w:rsidR="0085643E" w:rsidRDefault="0085643E">
      <w:pPr>
        <w:spacing w:after="0" w:line="240" w:lineRule="auto"/>
        <w:ind w:left="885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9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6"/>
        <w:gridCol w:w="2273"/>
        <w:gridCol w:w="6860"/>
      </w:tblGrid>
      <w:tr w:rsidR="0085643E" w14:paraId="41A5DB89" w14:textId="77777777">
        <w:trPr>
          <w:trHeight w:val="690"/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C71D6" w14:textId="77777777" w:rsidR="0085643E" w:rsidRDefault="00161F0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7DCB6" w14:textId="77777777" w:rsidR="0085643E" w:rsidRDefault="00161F0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AEDE9" w14:textId="77777777" w:rsidR="0085643E" w:rsidRDefault="00161F0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85643E" w14:paraId="6550CC89" w14:textId="77777777">
        <w:trPr>
          <w:trHeight w:val="2855"/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3F316" w14:textId="77777777" w:rsidR="0085643E" w:rsidRDefault="00161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3E13" w14:textId="77777777" w:rsidR="0085643E" w:rsidRDefault="00161F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49C0" w14:textId="77777777" w:rsidR="0085643E" w:rsidRDefault="0085643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  <w:p w14:paraId="56052556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E76453D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14:paraId="3A4AE557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4D0C93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договору. </w:t>
            </w:r>
          </w:p>
          <w:p w14:paraId="34E858AB" w14:textId="77777777" w:rsidR="0085643E" w:rsidRDefault="0085643E">
            <w:pPr>
              <w:widowControl w:val="0"/>
              <w:spacing w:after="0" w:line="240" w:lineRule="auto"/>
              <w:rPr>
                <w:i/>
                <w:highlight w:val="yellow"/>
              </w:rPr>
            </w:pPr>
          </w:p>
          <w:p w14:paraId="509E55DC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75207B" w:rsidRPr="00B927B3" w14:paraId="28891322" w14:textId="77777777" w:rsidTr="0075207B">
        <w:trPr>
          <w:trHeight w:val="1823"/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7623" w14:textId="2DAFCAF5" w:rsidR="0075207B" w:rsidRPr="0075207B" w:rsidRDefault="0075207B" w:rsidP="007520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FF608" w14:textId="76D517D0" w:rsidR="0075207B" w:rsidRPr="0075207B" w:rsidRDefault="0075207B" w:rsidP="007520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5207B">
              <w:rPr>
                <w:rStyle w:val="ae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227B" w14:textId="4EBD1E58" w:rsidR="00B927B3" w:rsidRPr="00B927B3" w:rsidRDefault="0075207B" w:rsidP="00B92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5207B">
              <w:rPr>
                <w:rStyle w:val="ae"/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що містить інформацію про наявність в учасника працівників відповідної кваліфікації, які мають необхідні знання та досвід;</w:t>
            </w:r>
          </w:p>
          <w:tbl>
            <w:tblPr>
              <w:tblW w:w="6543" w:type="dxa"/>
              <w:tblLayout w:type="fixed"/>
              <w:tblLook w:val="0400" w:firstRow="0" w:lastRow="0" w:firstColumn="0" w:lastColumn="0" w:noHBand="0" w:noVBand="1"/>
            </w:tblPr>
            <w:tblGrid>
              <w:gridCol w:w="733"/>
              <w:gridCol w:w="992"/>
              <w:gridCol w:w="1134"/>
              <w:gridCol w:w="2410"/>
              <w:gridCol w:w="1274"/>
            </w:tblGrid>
            <w:tr w:rsidR="00B927B3" w:rsidRPr="00B927B3" w14:paraId="5318D851" w14:textId="77777777" w:rsidTr="0041231A">
              <w:trPr>
                <w:trHeight w:val="547"/>
              </w:trPr>
              <w:tc>
                <w:tcPr>
                  <w:tcW w:w="654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0CC43" w14:textId="77777777" w:rsidR="00B927B3" w:rsidRPr="00B927B3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B927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B927B3" w:rsidRPr="0003632A" w14:paraId="6118DF9B" w14:textId="77777777" w:rsidTr="0041231A">
              <w:trPr>
                <w:trHeight w:val="1398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F7B2E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59928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Кваліфікація</w:t>
                  </w:r>
                  <w:proofErr w:type="spellEnd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</w:t>
                  </w:r>
                </w:p>
                <w:p w14:paraId="712180B3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345D2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Загальний</w:t>
                  </w:r>
                  <w:proofErr w:type="spellEnd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стаж </w:t>
                  </w: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роботи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AA4741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Працівник</w:t>
                  </w:r>
                  <w:proofErr w:type="spellEnd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учасника</w:t>
                  </w:r>
                  <w:proofErr w:type="spellEnd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/***</w:t>
                  </w: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працівник</w:t>
                  </w:r>
                  <w:proofErr w:type="spellEnd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субпідрядника</w:t>
                  </w:r>
                  <w:proofErr w:type="spellEnd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C6AC6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***</w:t>
                  </w: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Назва</w:t>
                  </w:r>
                  <w:proofErr w:type="spellEnd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субпідрядника</w:t>
                  </w:r>
                  <w:proofErr w:type="spellEnd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03632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співвиконавця</w:t>
                  </w:r>
                  <w:proofErr w:type="spellEnd"/>
                </w:p>
              </w:tc>
            </w:tr>
            <w:tr w:rsidR="00B927B3" w:rsidRPr="0003632A" w14:paraId="4F7B87B2" w14:textId="77777777" w:rsidTr="0041231A">
              <w:trPr>
                <w:trHeight w:val="27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7278F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C56227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35DC5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0FBBF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6BC88" w14:textId="77777777" w:rsidR="00B927B3" w:rsidRPr="0003632A" w:rsidRDefault="00B927B3" w:rsidP="00B92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0FE582A" w14:textId="51118CC8" w:rsidR="0075207B" w:rsidRPr="0075207B" w:rsidRDefault="00B927B3" w:rsidP="00B927B3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  <w:highlight w:val="yellow"/>
                <w:lang w:val="uk-UA"/>
              </w:rPr>
            </w:pPr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***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Заповнюється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якщо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учасник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планує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залучити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підтвердження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кваліфікації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працівників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відповідної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кваліфікації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які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мають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необхідні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знання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досвід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спроможності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субпідрядника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співвиконавця</w:t>
            </w:r>
            <w:proofErr w:type="spellEnd"/>
            <w:r w:rsidRPr="0003632A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927B3" w:rsidRPr="00B927B3" w14:paraId="2E30EE40" w14:textId="77777777" w:rsidTr="0075207B">
        <w:trPr>
          <w:trHeight w:val="1823"/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5DD5" w14:textId="2630EB49" w:rsidR="00B927B3" w:rsidRDefault="00B927B3" w:rsidP="00B927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915D" w14:textId="2BF0609E" w:rsidR="00B927B3" w:rsidRPr="0075207B" w:rsidRDefault="00B927B3" w:rsidP="00B927B3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>Наявність</w:t>
            </w:r>
            <w:proofErr w:type="spellEnd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>обладнання</w:t>
            </w:r>
            <w:proofErr w:type="spellEnd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матеріально-технічної</w:t>
            </w:r>
            <w:proofErr w:type="spellEnd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>бази</w:t>
            </w:r>
            <w:proofErr w:type="spellEnd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технологій</w:t>
            </w:r>
            <w:proofErr w:type="spellEnd"/>
            <w:r w:rsidRPr="0003632A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8695" w14:textId="3FB74871" w:rsidR="00B927B3" w:rsidRPr="0075207B" w:rsidRDefault="00B927B3" w:rsidP="00B927B3">
            <w:pPr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  <w:lang w:val="uk-UA"/>
              </w:rPr>
            </w:pPr>
            <w:r w:rsidRPr="00B927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 довідка у довільній формі, що містить інформацію про наявність в учасника обладнання, матеріально-технічної бази та технологій; копія ліцензії на послуги, якщо учасник є виконавцем запропонованих послуг, якщо (надання послуг), передбачених тендерною документацію, згідно чинного законодавства вимагає ліцензії</w:t>
            </w:r>
          </w:p>
        </w:tc>
      </w:tr>
    </w:tbl>
    <w:p w14:paraId="67C38805" w14:textId="77777777" w:rsidR="0085643E" w:rsidRPr="0075207B" w:rsidRDefault="00161F00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52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346295E" w14:textId="77777777" w:rsidR="0085643E" w:rsidRPr="0075207B" w:rsidRDefault="0085643E">
      <w:pPr>
        <w:spacing w:before="120" w:after="240" w:line="240" w:lineRule="auto"/>
        <w:ind w:firstLine="720"/>
        <w:jc w:val="both"/>
        <w:rPr>
          <w:rFonts w:eastAsia="Times New Roman" w:cs="Times New Roman"/>
          <w:i/>
          <w:highlight w:val="yellow"/>
          <w:lang w:val="uk-UA"/>
        </w:rPr>
      </w:pPr>
    </w:p>
    <w:p w14:paraId="45ADD729" w14:textId="77777777" w:rsidR="0085643E" w:rsidRDefault="00161F00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</w:p>
    <w:p w14:paraId="39241BD5" w14:textId="77777777" w:rsidR="0085643E" w:rsidRDefault="00161F00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4C8F59" w14:textId="77777777" w:rsidR="0085643E" w:rsidRDefault="00161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абзацу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4226C" w14:textId="77777777" w:rsidR="0085643E" w:rsidRDefault="00161F00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A4961F4" w14:textId="77777777" w:rsidR="0085643E" w:rsidRDefault="00161F0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пункту.</w:t>
      </w:r>
    </w:p>
    <w:p w14:paraId="3C3F8384" w14:textId="77777777" w:rsidR="0085643E" w:rsidRDefault="00161F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повинен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пункту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обставинах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надійності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незважаючи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A5296E" w14:textId="77777777" w:rsidR="0085643E" w:rsidRDefault="00161F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Закону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перевіряє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47 Особливостей.</w:t>
      </w:r>
    </w:p>
    <w:p w14:paraId="3A334FEE" w14:textId="77777777" w:rsidR="0085643E" w:rsidRDefault="0085643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37C0" w14:textId="77777777" w:rsidR="0085643E" w:rsidRDefault="0016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3FD95DF" w14:textId="77777777" w:rsidR="0085643E" w:rsidRDefault="00161F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Переможець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26B4CAD" w14:textId="77777777" w:rsidR="0085643E" w:rsidRDefault="00161F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09695953" w14:textId="77777777" w:rsidR="0085643E" w:rsidRDefault="00856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9947BC7" w14:textId="77777777" w:rsidR="0085643E" w:rsidRDefault="00161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1"/>
        <w:gridCol w:w="4350"/>
        <w:gridCol w:w="4507"/>
      </w:tblGrid>
      <w:tr w:rsidR="0085643E" w14:paraId="06622676" w14:textId="77777777">
        <w:trPr>
          <w:trHeight w:val="1005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44BB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5227FB1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8743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п.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Особливостей</w:t>
            </w:r>
            <w:proofErr w:type="spellEnd"/>
          </w:p>
          <w:p w14:paraId="6216E6A3" w14:textId="77777777" w:rsidR="0085643E" w:rsidRDefault="0085643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AD821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п.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643E" w14:paraId="2591B315" w14:textId="77777777">
        <w:trPr>
          <w:trHeight w:val="1723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2061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2D30" w14:textId="77777777" w:rsidR="0085643E" w:rsidRDefault="00161F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F75F56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11FF" w14:textId="77777777" w:rsidR="0085643E" w:rsidRDefault="00161F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знайдено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6FEC66D5" w14:textId="77777777" w:rsidR="0085643E" w:rsidRDefault="00161F00">
            <w:pPr>
              <w:widowControl w:val="0"/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пунктом 47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чотири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hyperlink r:id="rId6" w:anchor="n618" w:history="1"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підпунктах</w:t>
              </w:r>
              <w:proofErr w:type="spellEnd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7" w:anchor="n620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8" w:anchor="n621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hyperlink r:id="rId9" w:anchor="n62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 </w:t>
            </w:r>
            <w:hyperlink r:id="rId10" w:anchor="n628" w:history="1"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абзаці</w:t>
              </w:r>
              <w:proofErr w:type="spellEnd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чотирнадцятому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пункту.</w:t>
            </w:r>
          </w:p>
          <w:p w14:paraId="5B31FBAE" w14:textId="77777777" w:rsidR="0085643E" w:rsidRDefault="00161F00">
            <w:pPr>
              <w:widowControl w:val="0"/>
              <w:spacing w:after="0" w:line="276" w:lineRule="auto"/>
              <w:ind w:right="14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підпунктом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пункту 44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відхиляє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аргументації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hyperlink r:id="rId11" w:anchor="n618" w:history="1"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підпунктах</w:t>
              </w:r>
              <w:proofErr w:type="spellEnd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2" w:anchor="n620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anchor="n621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hyperlink r:id="rId14" w:anchor="n62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 </w:t>
            </w:r>
            <w:hyperlink r:id="rId15" w:anchor="n628" w:history="1"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абзаці</w:t>
              </w:r>
              <w:proofErr w:type="spellEnd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чотирнадцятому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 47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7911742" w14:textId="77777777" w:rsidR="0085643E" w:rsidRDefault="00161F00">
            <w:pPr>
              <w:widowControl w:val="0"/>
              <w:spacing w:after="0" w:line="254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04.09.2023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агентство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(НАЗК)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відкрило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безпекових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аспектів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12.03.2022 р. № 263, яка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інформаційно-комунікаційні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комунікаційні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зупиняти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обмежувати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роботу, так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відкриватись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поновлюватись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воєнного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стану.</w:t>
            </w:r>
          </w:p>
          <w:p w14:paraId="0435F8AD" w14:textId="77777777" w:rsidR="0085643E" w:rsidRDefault="00161F00">
            <w:pPr>
              <w:widowControl w:val="0"/>
              <w:spacing w:after="0" w:line="254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643E" w14:paraId="54FCA099" w14:textId="77777777">
        <w:trPr>
          <w:trHeight w:val="215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E2E0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98B1" w14:textId="77777777" w:rsidR="0085643E" w:rsidRDefault="00161F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порядку.</w:t>
            </w:r>
          </w:p>
          <w:p w14:paraId="5391BF07" w14:textId="77777777" w:rsidR="0085643E" w:rsidRDefault="00161F00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пункт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5A4BA2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144265" w14:textId="77777777" w:rsidR="0085643E" w:rsidRDefault="008564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43ED89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85643E" w14:paraId="33810B84" w14:textId="77777777">
        <w:trPr>
          <w:trHeight w:val="2535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E2EC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73AA" w14:textId="77777777" w:rsidR="0085643E" w:rsidRDefault="00161F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людьми.</w:t>
            </w:r>
          </w:p>
          <w:p w14:paraId="02292B63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72144A" w14:textId="77777777" w:rsidR="0085643E" w:rsidRDefault="008564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43E" w14:paraId="26BD533A" w14:textId="77777777">
        <w:trPr>
          <w:trHeight w:val="86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8D01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460E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торгах.  </w:t>
            </w:r>
          </w:p>
          <w:p w14:paraId="093D4B80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(абзац 14 пункт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1AC3" w14:textId="77777777" w:rsidR="0085643E" w:rsidRDefault="00161F00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482EAE3D" w14:textId="77777777" w:rsidR="0085643E" w:rsidRDefault="008564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DF2FA7" w14:textId="77777777" w:rsidR="0085643E" w:rsidRDefault="00161F00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3"/>
        <w:gridCol w:w="4431"/>
        <w:gridCol w:w="4605"/>
      </w:tblGrid>
      <w:tr w:rsidR="0085643E" w14:paraId="162B934A" w14:textId="77777777">
        <w:trPr>
          <w:trHeight w:val="82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FD2D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7846338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13D8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пункту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Особливостей</w:t>
            </w:r>
            <w:proofErr w:type="spellEnd"/>
          </w:p>
          <w:p w14:paraId="3508F74C" w14:textId="77777777" w:rsidR="0085643E" w:rsidRDefault="0085643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F06F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пункту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643E" w14:paraId="19B79AEF" w14:textId="77777777">
        <w:trPr>
          <w:trHeight w:val="1723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E43DE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6827" w14:textId="77777777" w:rsidR="0085643E" w:rsidRDefault="00161F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2E6519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747B" w14:textId="77777777" w:rsidR="0085643E" w:rsidRDefault="00161F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знайдено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0266B06" w14:textId="77777777" w:rsidR="0085643E" w:rsidRDefault="00161F00">
            <w:pPr>
              <w:widowControl w:val="0"/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пунктом 47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чотири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hyperlink r:id="rId16" w:anchor="n618" w:history="1"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підпунктах</w:t>
              </w:r>
              <w:proofErr w:type="spellEnd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7" w:anchor="n620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8" w:anchor="n621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hyperlink r:id="rId19" w:anchor="n62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 </w:t>
            </w:r>
            <w:hyperlink r:id="rId20" w:anchor="n628" w:history="1"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абзаці</w:t>
              </w:r>
              <w:proofErr w:type="spellEnd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чотирнадцятому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пункту.</w:t>
            </w:r>
          </w:p>
          <w:p w14:paraId="1CE4A4F1" w14:textId="77777777" w:rsidR="0085643E" w:rsidRDefault="00161F00">
            <w:pPr>
              <w:widowControl w:val="0"/>
              <w:spacing w:after="0" w:line="276" w:lineRule="auto"/>
              <w:ind w:right="14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підпунктом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пункту 44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відхиляє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аргументації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hyperlink r:id="rId21" w:anchor="n618" w:history="1"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підпунктах</w:t>
              </w:r>
              <w:proofErr w:type="spellEnd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2" w:anchor="n620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3" w:anchor="n621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hyperlink r:id="rId24" w:anchor="n62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 </w:t>
            </w:r>
            <w:hyperlink r:id="rId25" w:anchor="n628" w:history="1"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абзаці</w:t>
              </w:r>
              <w:proofErr w:type="spellEnd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чотирнадцятому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 47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A986A46" w14:textId="77777777" w:rsidR="0085643E" w:rsidRDefault="00161F00">
            <w:pPr>
              <w:widowControl w:val="0"/>
              <w:spacing w:after="0" w:line="254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04.09.2023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агентство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(НАЗК)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відкрило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вчинили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безпекових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аспектів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12.03.2022 р. № 263, яка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інформаційно-комунікаційні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комунікаційні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зупиняти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обмежувати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роботу, так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відкриватись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поновлюватись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стану.</w:t>
            </w:r>
          </w:p>
          <w:p w14:paraId="1431C62A" w14:textId="77777777" w:rsidR="0085643E" w:rsidRDefault="00161F00">
            <w:pPr>
              <w:widowControl w:val="0"/>
              <w:spacing w:after="0" w:line="254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Таким чином,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знайдено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48BFEB7" w14:textId="77777777" w:rsidR="0085643E" w:rsidRDefault="0085643E">
            <w:pPr>
              <w:widowControl w:val="0"/>
              <w:spacing w:after="0" w:line="254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3E" w14:paraId="123CB624" w14:textId="77777777">
        <w:trPr>
          <w:trHeight w:val="215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7E3E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AEBEF" w14:textId="77777777" w:rsidR="0085643E" w:rsidRDefault="00161F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порядку.</w:t>
            </w:r>
          </w:p>
          <w:p w14:paraId="3F1A20BE" w14:textId="77777777" w:rsidR="0085643E" w:rsidRDefault="00161F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 пункт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66E898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EF60BAD" w14:textId="77777777" w:rsidR="0085643E" w:rsidRDefault="008564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2ABA5F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85643E" w14:paraId="1BD1FF30" w14:textId="77777777">
        <w:trPr>
          <w:trHeight w:val="163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3E92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496C" w14:textId="77777777" w:rsidR="0085643E" w:rsidRDefault="00161F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людьми.</w:t>
            </w:r>
          </w:p>
          <w:p w14:paraId="6DEA7AAA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0C212" w14:textId="77777777" w:rsidR="0085643E" w:rsidRDefault="008564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43E" w14:paraId="2C1001CA" w14:textId="77777777">
        <w:trPr>
          <w:trHeight w:val="409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9553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7689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торгах.  </w:t>
            </w:r>
          </w:p>
          <w:p w14:paraId="07981008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(абзац 14 пункт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BC777" w14:textId="77777777" w:rsidR="0085643E" w:rsidRDefault="00161F00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7D216909" w14:textId="77777777" w:rsidR="0085643E" w:rsidRDefault="0085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7897D" w14:textId="77777777" w:rsidR="0085643E" w:rsidRDefault="00161F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85643E" w14:paraId="3391BC8C" w14:textId="77777777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2F246C4" w14:textId="77777777" w:rsidR="0085643E" w:rsidRDefault="00161F0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643E" w14:paraId="07250103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B1D8C" w14:textId="77777777" w:rsidR="0085643E" w:rsidRDefault="00161F0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8A21" w14:textId="77777777" w:rsidR="0085643E" w:rsidRDefault="00161F00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85643E" w14:paraId="15BFB4A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8E95" w14:textId="77777777" w:rsidR="0085643E" w:rsidRDefault="00161F00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B057" w14:textId="77777777" w:rsidR="0085643E" w:rsidRDefault="00161F00">
            <w:pPr>
              <w:widowControl w:val="0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85643E" w14:paraId="306222B0" w14:textId="77777777">
        <w:trPr>
          <w:trHeight w:val="580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2233C" w14:textId="77777777" w:rsidR="0085643E" w:rsidRDefault="00161F00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BA51" w14:textId="77777777" w:rsidR="0085643E" w:rsidRDefault="00161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38EA9A3" w14:textId="77777777" w:rsidR="0085643E" w:rsidRDefault="00161F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30EC7ED" w14:textId="77777777" w:rsidR="0085643E" w:rsidRDefault="00161F00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2918B6BA" w14:textId="77777777" w:rsidR="0085643E" w:rsidRDefault="00161F0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426B910" w14:textId="77777777" w:rsidR="0085643E" w:rsidRDefault="00161F00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C967D31" w14:textId="77777777" w:rsidR="0085643E" w:rsidRDefault="00161F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44DAD99" w14:textId="77777777" w:rsidR="0085643E" w:rsidRDefault="00161F00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3099687" w14:textId="77777777" w:rsidR="0085643E" w:rsidRDefault="00161F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1E0B1FA" w14:textId="77777777" w:rsidR="0085643E" w:rsidRDefault="00161F00">
            <w:pPr>
              <w:widowControl w:val="0"/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3418A441" w14:textId="77777777" w:rsidR="0085643E" w:rsidRDefault="00161F0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D981F2" w14:textId="77777777" w:rsidR="0085643E" w:rsidRDefault="00856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AE9BF" w14:textId="77777777" w:rsidR="0085643E" w:rsidRDefault="00856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643E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4E2"/>
    <w:multiLevelType w:val="multilevel"/>
    <w:tmpl w:val="A9361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975383A"/>
    <w:multiLevelType w:val="multilevel"/>
    <w:tmpl w:val="B1B64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9F5A55"/>
    <w:multiLevelType w:val="multilevel"/>
    <w:tmpl w:val="732A74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7B632A6"/>
    <w:multiLevelType w:val="multilevel"/>
    <w:tmpl w:val="A0FEE05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86418E2"/>
    <w:multiLevelType w:val="multilevel"/>
    <w:tmpl w:val="8A568E9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46E60B2"/>
    <w:multiLevelType w:val="multilevel"/>
    <w:tmpl w:val="A552D1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3E"/>
    <w:rsid w:val="00161F00"/>
    <w:rsid w:val="0075207B"/>
    <w:rsid w:val="0085643E"/>
    <w:rsid w:val="00B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063B"/>
  <w15:docId w15:val="{A3062BBB-1ECF-4F37-A5E3-54DD9B5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Шрифт абзацу за промовчанням"/>
    <w:qFormat/>
    <w:rsid w:val="0075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ed20230901" TargetMode="External"/><Relationship Id="rId13" Type="http://schemas.openxmlformats.org/officeDocument/2006/relationships/hyperlink" Target="https://zakon.rada.gov.ua/laws/show/1178-2022-&#1087;/ed20230901" TargetMode="External"/><Relationship Id="rId18" Type="http://schemas.openxmlformats.org/officeDocument/2006/relationships/hyperlink" Target="https://zakon.rada.gov.ua/laws/show/1178-2022-&#1087;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&#1087;/ed20230901" TargetMode="External"/><Relationship Id="rId7" Type="http://schemas.openxmlformats.org/officeDocument/2006/relationships/hyperlink" Target="https://zakon.rada.gov.ua/laws/show/1178-2022-&#1087;/ed20230901" TargetMode="External"/><Relationship Id="rId12" Type="http://schemas.openxmlformats.org/officeDocument/2006/relationships/hyperlink" Target="https://zakon.rada.gov.ua/laws/show/1178-2022-&#1087;/ed20230901" TargetMode="External"/><Relationship Id="rId17" Type="http://schemas.openxmlformats.org/officeDocument/2006/relationships/hyperlink" Target="https://zakon.rada.gov.ua/laws/show/1178-2022-&#1087;/ed20230901" TargetMode="External"/><Relationship Id="rId25" Type="http://schemas.openxmlformats.org/officeDocument/2006/relationships/hyperlink" Target="https://zakon.rada.gov.ua/laws/show/1178-2022-&#1087;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&#1087;/ed20230901" TargetMode="External"/><Relationship Id="rId20" Type="http://schemas.openxmlformats.org/officeDocument/2006/relationships/hyperlink" Target="https://zakon.rada.gov.ua/laws/show/1178-2022-&#1087;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&#1087;/ed20230901" TargetMode="External"/><Relationship Id="rId11" Type="http://schemas.openxmlformats.org/officeDocument/2006/relationships/hyperlink" Target="https://zakon.rada.gov.ua/laws/show/1178-2022-&#1087;/ed20230901" TargetMode="External"/><Relationship Id="rId24" Type="http://schemas.openxmlformats.org/officeDocument/2006/relationships/hyperlink" Target="https://zakon.rada.gov.ua/laws/show/1178-2022-&#1087;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&#1087;/ed20230901" TargetMode="External"/><Relationship Id="rId23" Type="http://schemas.openxmlformats.org/officeDocument/2006/relationships/hyperlink" Target="https://zakon.rada.gov.ua/laws/show/1178-2022-&#1087;/ed20230901" TargetMode="External"/><Relationship Id="rId10" Type="http://schemas.openxmlformats.org/officeDocument/2006/relationships/hyperlink" Target="https://zakon.rada.gov.ua/laws/show/1178-2022-&#1087;/ed20230901" TargetMode="External"/><Relationship Id="rId19" Type="http://schemas.openxmlformats.org/officeDocument/2006/relationships/hyperlink" Target="https://zakon.rada.gov.ua/laws/show/1178-2022-&#1087;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&#1087;/ed20230901" TargetMode="External"/><Relationship Id="rId14" Type="http://schemas.openxmlformats.org/officeDocument/2006/relationships/hyperlink" Target="https://zakon.rada.gov.ua/laws/show/1178-2022-&#1087;/ed20230901" TargetMode="External"/><Relationship Id="rId22" Type="http://schemas.openxmlformats.org/officeDocument/2006/relationships/hyperlink" Target="https://zakon.rada.gov.ua/laws/show/1178-2022-&#1087;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12064</Words>
  <Characters>6878</Characters>
  <Application>Microsoft Office Word</Application>
  <DocSecurity>0</DocSecurity>
  <Lines>57</Lines>
  <Paragraphs>37</Paragraphs>
  <ScaleCrop>false</ScaleCrop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Сергій Сидорак</cp:lastModifiedBy>
  <cp:revision>4</cp:revision>
  <dcterms:created xsi:type="dcterms:W3CDTF">2023-09-27T15:33:00Z</dcterms:created>
  <dcterms:modified xsi:type="dcterms:W3CDTF">2023-09-30T09:35:00Z</dcterms:modified>
  <dc:language>uk-UA</dc:language>
</cp:coreProperties>
</file>