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6F57E5">
        <w:rPr>
          <w:rFonts w:eastAsia="Times New Roman" w:cs="Times New Roman"/>
          <w:b/>
          <w:bCs/>
          <w:color w:val="000000"/>
          <w:sz w:val="32"/>
          <w:szCs w:val="32"/>
        </w:rPr>
        <w:t>06.04</w:t>
      </w:r>
      <w:r w:rsidR="00D7589B" w:rsidRPr="003443EB">
        <w:rPr>
          <w:rFonts w:eastAsia="Times New Roman" w:cs="Times New Roman"/>
          <w:b/>
          <w:bCs/>
          <w:color w:val="000000"/>
          <w:sz w:val="32"/>
          <w:szCs w:val="32"/>
        </w:rPr>
        <w:t>.2023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814A32" w:rsidRPr="002F7008">
        <w:rPr>
          <w:b/>
          <w:lang w:val="uk-UA"/>
        </w:rPr>
        <w:t>31610000-5 – Електричне обладнання для двигунів і транспортних засобів</w:t>
      </w:r>
      <w:r w:rsidR="00DF3B61" w:rsidRPr="00DF3B61">
        <w:rPr>
          <w:b/>
          <w:lang w:val="uk-UA"/>
        </w:rPr>
        <w:t>.</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91DD8">
        <w:rPr>
          <w:b/>
          <w:lang w:val="uk-UA"/>
        </w:rPr>
        <w:t>31612300-2</w:t>
      </w:r>
      <w:r w:rsidR="00191DD8" w:rsidRPr="002F7008">
        <w:rPr>
          <w:b/>
          <w:lang w:val="uk-UA"/>
        </w:rPr>
        <w:t xml:space="preserve"> – </w:t>
      </w:r>
      <w:proofErr w:type="spellStart"/>
      <w:r w:rsidR="00191DD8">
        <w:rPr>
          <w:b/>
          <w:lang w:val="uk-UA"/>
        </w:rPr>
        <w:t>Електросигнальні</w:t>
      </w:r>
      <w:proofErr w:type="spellEnd"/>
      <w:r w:rsidR="00191DD8">
        <w:rPr>
          <w:b/>
          <w:lang w:val="uk-UA"/>
        </w:rPr>
        <w:t xml:space="preserve"> системи керування двигуном</w:t>
      </w:r>
      <w:r w:rsidR="00FB3CFD" w:rsidRPr="00EA167F">
        <w:rPr>
          <w:b/>
          <w:lang w:val="uk-UA"/>
        </w:rPr>
        <w:t>.</w:t>
      </w:r>
    </w:p>
    <w:p w:rsidR="00C3572D" w:rsidRDefault="00C3572D" w:rsidP="005071B1">
      <w:pPr>
        <w:pStyle w:val="rvps2"/>
        <w:shd w:val="clear" w:color="auto" w:fill="FFFFFF"/>
        <w:spacing w:before="0" w:beforeAutospacing="0" w:after="0" w:afterAutospacing="0"/>
        <w:ind w:firstLine="567"/>
        <w:jc w:val="both"/>
        <w:rPr>
          <w:lang w:val="uk-UA"/>
        </w:rPr>
      </w:pPr>
    </w:p>
    <w:p w:rsidR="00C3572D" w:rsidRDefault="00F9404B" w:rsidP="005071B1">
      <w:pPr>
        <w:pStyle w:val="rvps2"/>
        <w:shd w:val="clear" w:color="auto" w:fill="FFFFFF"/>
        <w:spacing w:before="0" w:beforeAutospacing="0" w:after="0" w:afterAutospacing="0"/>
        <w:ind w:firstLine="567"/>
        <w:jc w:val="both"/>
        <w:rPr>
          <w:lang w:val="uk-UA"/>
        </w:rPr>
      </w:pPr>
      <w:r>
        <w:rPr>
          <w:lang w:val="uk-UA"/>
        </w:rPr>
        <w:t xml:space="preserve">2.3. Конкретна назва предмета закупівлі: </w:t>
      </w:r>
      <w:r w:rsidR="00B42F75" w:rsidRPr="00B42F75">
        <w:rPr>
          <w:b/>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w:t>
      </w:r>
      <w:proofErr w:type="spellStart"/>
      <w:r w:rsidR="00B42F75" w:rsidRPr="00B42F75">
        <w:rPr>
          <w:b/>
          <w:lang w:val="uk-UA"/>
        </w:rPr>
        <w:t>Tatra</w:t>
      </w:r>
      <w:proofErr w:type="spellEnd"/>
      <w:r w:rsidR="00B42F75" w:rsidRPr="00B42F75">
        <w:rPr>
          <w:b/>
          <w:lang w:val="uk-UA"/>
        </w:rPr>
        <w:t xml:space="preserve"> Т3 шляхом заміни </w:t>
      </w:r>
      <w:proofErr w:type="spellStart"/>
      <w:r w:rsidR="00B42F75" w:rsidRPr="00B42F75">
        <w:rPr>
          <w:b/>
          <w:lang w:val="uk-UA"/>
        </w:rPr>
        <w:t>реостатно-контакторної</w:t>
      </w:r>
      <w:proofErr w:type="spellEnd"/>
      <w:r w:rsidR="00B42F75" w:rsidRPr="00B42F75">
        <w:rPr>
          <w:b/>
          <w:lang w:val="uk-UA"/>
        </w:rPr>
        <w:t xml:space="preserve"> системи керування на транзисторно-імпульсну (ТІСК )</w:t>
      </w:r>
      <w:r w:rsidR="00B42F75">
        <w:rPr>
          <w:b/>
          <w:lang w:val="uk-UA"/>
        </w:rPr>
        <w:t xml:space="preserve"> </w:t>
      </w:r>
      <w:r w:rsidR="004D408F">
        <w:rPr>
          <w:b/>
          <w:lang w:val="uk-UA"/>
        </w:rPr>
        <w:t xml:space="preserve"> </w:t>
      </w:r>
      <w:r w:rsidR="00814A32" w:rsidRPr="002F7008">
        <w:rPr>
          <w:b/>
          <w:lang w:val="uk-UA"/>
        </w:rPr>
        <w:t>згідно ДК021:2015 код 31610000-5 – Електричне обладнання для двигунів і транспортних засобів</w:t>
      </w:r>
      <w:r w:rsidR="00FB3CFD" w:rsidRPr="00F04484">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6878" w:type="dxa"/>
        <w:tblInd w:w="-252" w:type="dxa"/>
        <w:tblLayout w:type="fixed"/>
        <w:tblLook w:val="00A0" w:firstRow="1" w:lastRow="0" w:firstColumn="1" w:lastColumn="0" w:noHBand="0" w:noVBand="0"/>
      </w:tblPr>
      <w:tblGrid>
        <w:gridCol w:w="614"/>
        <w:gridCol w:w="4524"/>
        <w:gridCol w:w="870"/>
        <w:gridCol w:w="870"/>
      </w:tblGrid>
      <w:tr w:rsidR="00814A32" w:rsidTr="00814A32">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rsidR="00814A32" w:rsidRDefault="00814A32" w:rsidP="00814A32">
            <w:pPr>
              <w:jc w:val="center"/>
              <w:rPr>
                <w:b/>
                <w:bCs/>
                <w:color w:val="000000"/>
                <w:lang w:eastAsia="ru-RU"/>
              </w:rPr>
            </w:pPr>
            <w:r>
              <w:rPr>
                <w:b/>
                <w:bCs/>
                <w:color w:val="000000"/>
                <w:lang w:eastAsia="ru-RU"/>
              </w:rPr>
              <w:t>№ п/</w:t>
            </w:r>
            <w:proofErr w:type="spellStart"/>
            <w:r>
              <w:rPr>
                <w:b/>
                <w:bCs/>
                <w:color w:val="000000"/>
                <w:lang w:eastAsia="ru-RU"/>
              </w:rPr>
              <w:t>п</w:t>
            </w:r>
            <w:proofErr w:type="spellEnd"/>
          </w:p>
        </w:tc>
        <w:tc>
          <w:tcPr>
            <w:tcW w:w="4524" w:type="dxa"/>
            <w:tcBorders>
              <w:top w:val="single" w:sz="4" w:space="0" w:color="auto"/>
              <w:left w:val="nil"/>
              <w:bottom w:val="single" w:sz="4" w:space="0" w:color="auto"/>
              <w:right w:val="single" w:sz="4" w:space="0" w:color="auto"/>
            </w:tcBorders>
            <w:vAlign w:val="center"/>
            <w:hideMark/>
          </w:tcPr>
          <w:p w:rsidR="00814A32" w:rsidRDefault="00814A32" w:rsidP="00814A32">
            <w:pPr>
              <w:spacing w:after="0"/>
              <w:jc w:val="center"/>
              <w:rPr>
                <w:b/>
                <w:bCs/>
                <w:color w:val="000000"/>
                <w:lang w:eastAsia="ru-RU"/>
              </w:rPr>
            </w:pPr>
            <w:r>
              <w:rPr>
                <w:b/>
                <w:bCs/>
                <w:color w:val="000000"/>
                <w:lang w:eastAsia="ru-RU"/>
              </w:rPr>
              <w:t xml:space="preserve">Найменування </w:t>
            </w:r>
          </w:p>
          <w:p w:rsidR="00814A32" w:rsidRDefault="00814A32" w:rsidP="00814A32">
            <w:pPr>
              <w:spacing w:after="0"/>
              <w:jc w:val="center"/>
              <w:rPr>
                <w:b/>
              </w:rPr>
            </w:pPr>
            <w:r>
              <w:rPr>
                <w:b/>
              </w:rPr>
              <w:t>товару/робіт/</w:t>
            </w:r>
          </w:p>
          <w:p w:rsidR="00814A32" w:rsidRDefault="00814A32" w:rsidP="00814A32">
            <w:pPr>
              <w:jc w:val="center"/>
              <w:rPr>
                <w:b/>
                <w:bCs/>
                <w:color w:val="000000"/>
                <w:lang w:eastAsia="ru-RU"/>
              </w:rPr>
            </w:pPr>
            <w:r>
              <w:rPr>
                <w:b/>
              </w:rPr>
              <w:t>послуг</w:t>
            </w:r>
          </w:p>
        </w:tc>
        <w:tc>
          <w:tcPr>
            <w:tcW w:w="870" w:type="dxa"/>
            <w:tcBorders>
              <w:top w:val="single" w:sz="4" w:space="0" w:color="auto"/>
              <w:left w:val="nil"/>
              <w:bottom w:val="single" w:sz="4" w:space="0" w:color="auto"/>
              <w:right w:val="single" w:sz="4" w:space="0" w:color="auto"/>
            </w:tcBorders>
            <w:vAlign w:val="center"/>
            <w:hideMark/>
          </w:tcPr>
          <w:p w:rsidR="00814A32" w:rsidRDefault="00814A32" w:rsidP="00814A32">
            <w:pPr>
              <w:jc w:val="center"/>
              <w:rPr>
                <w:b/>
                <w:bCs/>
                <w:color w:val="000000"/>
                <w:lang w:eastAsia="ru-RU"/>
              </w:rPr>
            </w:pPr>
            <w:r>
              <w:rPr>
                <w:b/>
                <w:bCs/>
                <w:color w:val="000000"/>
                <w:lang w:eastAsia="ru-RU"/>
              </w:rPr>
              <w:t xml:space="preserve">Од. </w:t>
            </w:r>
            <w:proofErr w:type="spellStart"/>
            <w:r>
              <w:rPr>
                <w:b/>
                <w:bCs/>
                <w:color w:val="000000"/>
                <w:lang w:eastAsia="ru-RU"/>
              </w:rPr>
              <w:t>вим</w:t>
            </w:r>
            <w:proofErr w:type="spellEnd"/>
            <w:r>
              <w:rPr>
                <w:b/>
                <w:bCs/>
                <w:color w:val="000000"/>
                <w:lang w:eastAsia="ru-RU"/>
              </w:rPr>
              <w:t>.</w:t>
            </w:r>
          </w:p>
        </w:tc>
        <w:tc>
          <w:tcPr>
            <w:tcW w:w="870" w:type="dxa"/>
            <w:tcBorders>
              <w:top w:val="single" w:sz="4" w:space="0" w:color="auto"/>
              <w:left w:val="nil"/>
              <w:bottom w:val="single" w:sz="4" w:space="0" w:color="auto"/>
              <w:right w:val="single" w:sz="4" w:space="0" w:color="auto"/>
            </w:tcBorders>
            <w:vAlign w:val="center"/>
            <w:hideMark/>
          </w:tcPr>
          <w:p w:rsidR="00814A32" w:rsidRDefault="00814A32" w:rsidP="00814A32">
            <w:pPr>
              <w:jc w:val="center"/>
              <w:rPr>
                <w:b/>
                <w:bCs/>
                <w:color w:val="000000"/>
                <w:lang w:eastAsia="ru-RU"/>
              </w:rPr>
            </w:pPr>
            <w:proofErr w:type="spellStart"/>
            <w:r>
              <w:rPr>
                <w:b/>
                <w:bCs/>
                <w:color w:val="000000"/>
                <w:lang w:eastAsia="ru-RU"/>
              </w:rPr>
              <w:t>Кіль-кість</w:t>
            </w:r>
            <w:proofErr w:type="spellEnd"/>
          </w:p>
        </w:tc>
      </w:tr>
      <w:tr w:rsidR="00814A32" w:rsidTr="00814A32">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rsidR="00814A32" w:rsidRDefault="00814A32" w:rsidP="00814A32">
            <w:pPr>
              <w:spacing w:after="0"/>
              <w:jc w:val="center"/>
              <w:rPr>
                <w:sz w:val="24"/>
                <w:szCs w:val="24"/>
              </w:rPr>
            </w:pPr>
            <w:r>
              <w:rPr>
                <w:sz w:val="24"/>
                <w:szCs w:val="24"/>
              </w:rPr>
              <w:t>1</w:t>
            </w:r>
          </w:p>
        </w:tc>
        <w:tc>
          <w:tcPr>
            <w:tcW w:w="4524" w:type="dxa"/>
            <w:tcBorders>
              <w:top w:val="single" w:sz="4" w:space="0" w:color="auto"/>
              <w:left w:val="nil"/>
              <w:bottom w:val="single" w:sz="4" w:space="0" w:color="auto"/>
              <w:right w:val="single" w:sz="4" w:space="0" w:color="auto"/>
            </w:tcBorders>
            <w:vAlign w:val="center"/>
            <w:hideMark/>
          </w:tcPr>
          <w:p w:rsidR="00814A32" w:rsidRDefault="00B42F75" w:rsidP="003C03E3">
            <w:pPr>
              <w:rPr>
                <w:sz w:val="24"/>
                <w:szCs w:val="24"/>
              </w:rPr>
            </w:pPr>
            <w:r>
              <w:rPr>
                <w:sz w:val="24"/>
                <w:szCs w:val="24"/>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w:t>
            </w:r>
            <w:proofErr w:type="spellStart"/>
            <w:r>
              <w:rPr>
                <w:sz w:val="24"/>
                <w:szCs w:val="24"/>
                <w:lang w:val="en-US"/>
              </w:rPr>
              <w:t>Tatra</w:t>
            </w:r>
            <w:proofErr w:type="spellEnd"/>
            <w:r w:rsidRPr="00635BC6">
              <w:rPr>
                <w:sz w:val="24"/>
                <w:szCs w:val="24"/>
              </w:rPr>
              <w:t xml:space="preserve"> Т3 шляхом заміни </w:t>
            </w:r>
            <w:proofErr w:type="spellStart"/>
            <w:r w:rsidRPr="00635BC6">
              <w:rPr>
                <w:sz w:val="24"/>
                <w:szCs w:val="24"/>
              </w:rPr>
              <w:t>реостатно</w:t>
            </w:r>
            <w:r>
              <w:rPr>
                <w:sz w:val="24"/>
                <w:szCs w:val="24"/>
              </w:rPr>
              <w:t>-контакторної</w:t>
            </w:r>
            <w:proofErr w:type="spellEnd"/>
            <w:r>
              <w:rPr>
                <w:sz w:val="24"/>
                <w:szCs w:val="24"/>
              </w:rPr>
              <w:t xml:space="preserve"> системи керування на транзисторно-імпульсну (ТІСК )                                                        </w:t>
            </w:r>
          </w:p>
        </w:tc>
        <w:tc>
          <w:tcPr>
            <w:tcW w:w="870" w:type="dxa"/>
            <w:tcBorders>
              <w:top w:val="single" w:sz="4" w:space="0" w:color="auto"/>
              <w:left w:val="nil"/>
              <w:bottom w:val="single" w:sz="4" w:space="0" w:color="auto"/>
              <w:right w:val="single" w:sz="4" w:space="0" w:color="auto"/>
            </w:tcBorders>
            <w:vAlign w:val="center"/>
          </w:tcPr>
          <w:p w:rsidR="00814A32" w:rsidRDefault="00834427" w:rsidP="00814A32">
            <w:pPr>
              <w:jc w:val="center"/>
              <w:rPr>
                <w:sz w:val="24"/>
                <w:szCs w:val="24"/>
              </w:rPr>
            </w:pPr>
            <w:r>
              <w:rPr>
                <w:sz w:val="24"/>
                <w:szCs w:val="24"/>
              </w:rPr>
              <w:t>ш</w:t>
            </w:r>
            <w:r w:rsidR="00814A32">
              <w:rPr>
                <w:sz w:val="24"/>
                <w:szCs w:val="24"/>
              </w:rPr>
              <w:t>т.</w:t>
            </w:r>
          </w:p>
        </w:tc>
        <w:tc>
          <w:tcPr>
            <w:tcW w:w="870" w:type="dxa"/>
            <w:tcBorders>
              <w:top w:val="single" w:sz="4" w:space="0" w:color="auto"/>
              <w:left w:val="nil"/>
              <w:bottom w:val="single" w:sz="4" w:space="0" w:color="auto"/>
              <w:right w:val="single" w:sz="4" w:space="0" w:color="auto"/>
            </w:tcBorders>
            <w:vAlign w:val="center"/>
          </w:tcPr>
          <w:p w:rsidR="00814A32" w:rsidRDefault="00814A32" w:rsidP="00814A32">
            <w:pPr>
              <w:jc w:val="center"/>
              <w:rPr>
                <w:sz w:val="24"/>
                <w:szCs w:val="24"/>
              </w:rPr>
            </w:pPr>
            <w:r>
              <w:rPr>
                <w:sz w:val="24"/>
                <w:szCs w:val="24"/>
              </w:rPr>
              <w:t>3</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3A5862" w:rsidRPr="009973B6" w:rsidRDefault="00F9404B" w:rsidP="003A5862">
      <w:pPr>
        <w:spacing w:after="0"/>
        <w:jc w:val="both"/>
        <w:rPr>
          <w:rFonts w:eastAsia="Times New Roman"/>
          <w:b/>
          <w:color w:val="000000"/>
          <w:sz w:val="24"/>
          <w:szCs w:val="24"/>
        </w:rPr>
      </w:pPr>
      <w:r>
        <w:rPr>
          <w:color w:val="000000"/>
        </w:rPr>
        <w:t xml:space="preserve">4. Очікувана вартість предмета закупівлі: </w:t>
      </w:r>
      <w:r w:rsidR="00814A32">
        <w:rPr>
          <w:b/>
          <w:bCs/>
          <w:sz w:val="24"/>
          <w:szCs w:val="24"/>
        </w:rPr>
        <w:t xml:space="preserve">12 600 000,00 </w:t>
      </w:r>
      <w:r w:rsidR="00814A32" w:rsidRPr="009E4798">
        <w:rPr>
          <w:b/>
          <w:bCs/>
          <w:sz w:val="24"/>
          <w:szCs w:val="24"/>
        </w:rPr>
        <w:t>грн. з ПДВ</w:t>
      </w:r>
      <w:r w:rsidR="00814A32" w:rsidRPr="0034758C">
        <w:rPr>
          <w:rFonts w:eastAsia="Times New Roman"/>
          <w:b/>
          <w:color w:val="000000"/>
          <w:sz w:val="24"/>
          <w:szCs w:val="24"/>
        </w:rPr>
        <w:t>. (</w:t>
      </w:r>
      <w:r w:rsidR="00814A32">
        <w:rPr>
          <w:rFonts w:eastAsia="Times New Roman"/>
          <w:b/>
          <w:color w:val="000000"/>
          <w:sz w:val="24"/>
          <w:szCs w:val="24"/>
        </w:rPr>
        <w:t>Дванадцять мільйонів шістсот тисяч грн. 00 коп.)</w:t>
      </w:r>
    </w:p>
    <w:p w:rsidR="0056427C" w:rsidRPr="00791E76" w:rsidRDefault="0056427C" w:rsidP="0056427C">
      <w:pPr>
        <w:spacing w:after="0"/>
        <w:jc w:val="both"/>
        <w:rPr>
          <w:b/>
        </w:rPr>
      </w:pPr>
    </w:p>
    <w:p w:rsidR="003443EB" w:rsidRPr="00024764" w:rsidRDefault="00F9404B" w:rsidP="00666F7A">
      <w:pPr>
        <w:shd w:val="clear" w:color="auto" w:fill="FFFFFF"/>
        <w:spacing w:after="120"/>
        <w:jc w:val="both"/>
        <w:rPr>
          <w:b/>
          <w:color w:val="000000"/>
          <w:sz w:val="24"/>
          <w:szCs w:val="24"/>
        </w:rPr>
      </w:pPr>
      <w:r>
        <w:rPr>
          <w:color w:val="000000"/>
        </w:rPr>
        <w:t>4.1. Джерело фінансування закупівлі:</w:t>
      </w:r>
      <w:r>
        <w:rPr>
          <w:b/>
          <w:color w:val="000000"/>
        </w:rPr>
        <w:t xml:space="preserve"> </w:t>
      </w:r>
      <w:r w:rsidR="003443EB" w:rsidRPr="00024764">
        <w:rPr>
          <w:b/>
          <w:color w:val="000000"/>
          <w:sz w:val="24"/>
          <w:szCs w:val="24"/>
        </w:rPr>
        <w:t>Місцевий бюджет – 5 670 000,00 грн.</w:t>
      </w:r>
    </w:p>
    <w:p w:rsidR="00F9404B" w:rsidRPr="003443EB" w:rsidRDefault="003443EB" w:rsidP="00666F7A">
      <w:pPr>
        <w:shd w:val="clear" w:color="auto" w:fill="FFFFFF"/>
        <w:spacing w:after="120"/>
        <w:jc w:val="both"/>
        <w:rPr>
          <w:color w:val="000000"/>
          <w:sz w:val="24"/>
          <w:szCs w:val="24"/>
        </w:rPr>
      </w:pPr>
      <w:r w:rsidRPr="00024764">
        <w:rPr>
          <w:b/>
          <w:color w:val="000000"/>
          <w:sz w:val="24"/>
          <w:szCs w:val="24"/>
        </w:rPr>
        <w:t>Власний бюджет (кошти від господарської діяльності підприємства) – 6</w:t>
      </w:r>
      <w:r>
        <w:rPr>
          <w:b/>
          <w:color w:val="000000"/>
          <w:sz w:val="24"/>
          <w:szCs w:val="24"/>
        </w:rPr>
        <w:t xml:space="preserve"> 930 000,00 грн.</w:t>
      </w:r>
    </w:p>
    <w:p w:rsidR="0056427C" w:rsidRDefault="0056427C" w:rsidP="00B23051">
      <w:pPr>
        <w:spacing w:after="0"/>
        <w:jc w:val="both"/>
        <w:rPr>
          <w:color w:val="000000"/>
        </w:rPr>
      </w:pP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 xml:space="preserve">по </w:t>
      </w:r>
      <w:r w:rsidR="00D86862" w:rsidRPr="003443EB">
        <w:rPr>
          <w:rFonts w:cs="Times New Roman"/>
          <w:b/>
          <w:sz w:val="24"/>
          <w:szCs w:val="24"/>
        </w:rPr>
        <w:t>31.12</w:t>
      </w:r>
      <w:r w:rsidR="00F9404B" w:rsidRPr="003443EB">
        <w:rPr>
          <w:rFonts w:cs="Times New Roman"/>
          <w:b/>
          <w:sz w:val="24"/>
          <w:szCs w:val="24"/>
        </w:rPr>
        <w:t>.202</w:t>
      </w:r>
      <w:r w:rsidR="00E36405" w:rsidRPr="003443EB">
        <w:rPr>
          <w:rFonts w:cs="Times New Roman"/>
          <w:b/>
          <w:sz w:val="24"/>
          <w:szCs w:val="24"/>
        </w:rPr>
        <w:t>3</w:t>
      </w:r>
      <w:r w:rsidR="00F9404B" w:rsidRPr="003443EB">
        <w:rPr>
          <w:rFonts w:cs="Times New Roman"/>
          <w:b/>
          <w:color w:val="000000"/>
          <w:sz w:val="24"/>
          <w:szCs w:val="24"/>
        </w:rPr>
        <w:t xml:space="preserve"> р.</w:t>
      </w:r>
      <w:r w:rsidR="00F9404B">
        <w:rPr>
          <w:rFonts w:cs="Times New Roman"/>
          <w:b/>
          <w:color w:val="000000"/>
          <w:sz w:val="24"/>
          <w:szCs w:val="24"/>
        </w:rPr>
        <w:t xml:space="preserve">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FB3CFD">
        <w:rPr>
          <w:rFonts w:eastAsia="Times New Roman" w:cs="Times New Roman"/>
          <w:color w:val="000000"/>
          <w:sz w:val="24"/>
          <w:szCs w:val="24"/>
          <w:lang w:eastAsia="ru-RU"/>
        </w:rPr>
        <w:t xml:space="preserve">: </w:t>
      </w:r>
      <w:r w:rsidR="00DD142A">
        <w:rPr>
          <w:rFonts w:eastAsia="Times New Roman" w:cs="Times New Roman"/>
          <w:b/>
          <w:color w:val="000000"/>
          <w:sz w:val="24"/>
          <w:szCs w:val="24"/>
          <w:lang w:eastAsia="ru-RU"/>
        </w:rPr>
        <w:t>14</w:t>
      </w:r>
      <w:r w:rsidR="00D86862" w:rsidRPr="003443EB">
        <w:rPr>
          <w:rFonts w:eastAsia="Times New Roman" w:cs="Times New Roman"/>
          <w:b/>
          <w:color w:val="000000"/>
          <w:sz w:val="24"/>
          <w:szCs w:val="24"/>
          <w:lang w:eastAsia="ru-RU"/>
        </w:rPr>
        <w:t xml:space="preserve"> </w:t>
      </w:r>
      <w:r w:rsidR="00DD142A">
        <w:rPr>
          <w:rFonts w:eastAsia="Times New Roman" w:cs="Times New Roman"/>
          <w:b/>
          <w:color w:val="000000"/>
          <w:sz w:val="24"/>
          <w:szCs w:val="24"/>
          <w:lang w:eastAsia="ru-RU"/>
        </w:rPr>
        <w:t>квітня</w:t>
      </w:r>
      <w:r w:rsidR="005A7B00" w:rsidRPr="003443EB">
        <w:rPr>
          <w:rFonts w:cs="Times New Roman"/>
          <w:b/>
          <w:sz w:val="24"/>
          <w:szCs w:val="24"/>
        </w:rPr>
        <w:t xml:space="preserve"> 2023</w:t>
      </w:r>
      <w:r w:rsidRPr="003443EB">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4111"/>
        <w:gridCol w:w="1134"/>
        <w:gridCol w:w="850"/>
        <w:gridCol w:w="1701"/>
        <w:gridCol w:w="993"/>
      </w:tblGrid>
      <w:tr w:rsidR="00F9404B" w:rsidRPr="0062737B" w:rsidTr="002416D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7" w:name="_Hlk15297878"/>
            <w:r w:rsidRPr="0062737B">
              <w:rPr>
                <w:b/>
                <w:bCs/>
              </w:rPr>
              <w:t>Подія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814A32" w:rsidRPr="0062737B" w:rsidTr="00814A32">
        <w:trPr>
          <w:cantSplit/>
          <w:trHeight w:val="2315"/>
        </w:trPr>
        <w:tc>
          <w:tcPr>
            <w:tcW w:w="1276" w:type="dxa"/>
            <w:vMerge w:val="restart"/>
            <w:tcBorders>
              <w:top w:val="single" w:sz="4" w:space="0" w:color="000000"/>
              <w:left w:val="single" w:sz="4" w:space="0" w:color="000000"/>
              <w:right w:val="single" w:sz="4" w:space="0" w:color="000000"/>
            </w:tcBorders>
            <w:vAlign w:val="center"/>
            <w:hideMark/>
          </w:tcPr>
          <w:p w:rsidR="00814A32" w:rsidRPr="0062737B" w:rsidRDefault="00814A32">
            <w:pPr>
              <w:tabs>
                <w:tab w:val="left" w:pos="1134"/>
              </w:tabs>
              <w:ind w:firstLine="33"/>
              <w:jc w:val="center"/>
              <w:textAlignment w:val="top"/>
              <w:rPr>
                <w:rFonts w:eastAsia="Tahoma"/>
                <w:color w:val="000000"/>
              </w:rPr>
            </w:pPr>
            <w:r w:rsidRPr="0062737B">
              <w:rPr>
                <w:rFonts w:eastAsia="Tahoma"/>
                <w:color w:val="000000"/>
              </w:rPr>
              <w:t>Поставка Товару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814A32" w:rsidRDefault="00814A32" w:rsidP="00814A32">
            <w:pPr>
              <w:pStyle w:val="a4"/>
              <w:tabs>
                <w:tab w:val="left" w:pos="993"/>
                <w:tab w:val="left" w:pos="1418"/>
                <w:tab w:val="left" w:pos="1701"/>
              </w:tabs>
              <w:spacing w:after="0" w:line="240" w:lineRule="auto"/>
              <w:ind w:left="34" w:right="175"/>
              <w:jc w:val="both"/>
              <w:textAlignment w:val="top"/>
              <w:rPr>
                <w:rFonts w:ascii="Times New Roman" w:eastAsia="Tahoma" w:hAnsi="Times New Roman"/>
                <w:color w:val="000000"/>
                <w:sz w:val="24"/>
                <w:szCs w:val="24"/>
              </w:rPr>
            </w:pPr>
            <w:r w:rsidRPr="00E32946">
              <w:rPr>
                <w:rFonts w:ascii="Times New Roman" w:eastAsia="Tahoma" w:hAnsi="Times New Roman"/>
                <w:color w:val="000000"/>
                <w:sz w:val="24"/>
                <w:szCs w:val="24"/>
                <w:lang w:eastAsia="en-US"/>
              </w:rPr>
              <w:t xml:space="preserve">Оплата за Товар здійснюється Замовником в безготівковій формі, </w:t>
            </w:r>
            <w:r w:rsidR="004A496F">
              <w:rPr>
                <w:rFonts w:ascii="Times New Roman" w:eastAsia="Tahoma" w:hAnsi="Times New Roman"/>
                <w:color w:val="000000"/>
                <w:sz w:val="24"/>
                <w:szCs w:val="24"/>
                <w:lang w:eastAsia="en-US"/>
              </w:rPr>
              <w:t>на підставі</w:t>
            </w:r>
            <w:bookmarkStart w:id="8" w:name="_GoBack"/>
            <w:bookmarkEnd w:id="8"/>
            <w:r w:rsidRPr="00E32946">
              <w:rPr>
                <w:rFonts w:ascii="Times New Roman" w:eastAsia="Tahoma" w:hAnsi="Times New Roman"/>
                <w:color w:val="000000"/>
                <w:sz w:val="24"/>
                <w:szCs w:val="24"/>
                <w:lang w:eastAsia="en-US"/>
              </w:rPr>
              <w:t xml:space="preserve"> виставленого Постачальником рахунку</w:t>
            </w:r>
            <w:r>
              <w:rPr>
                <w:rFonts w:ascii="Times New Roman" w:eastAsia="Tahoma" w:hAnsi="Times New Roman"/>
                <w:color w:val="000000"/>
                <w:sz w:val="24"/>
                <w:szCs w:val="24"/>
                <w:lang w:eastAsia="en-US"/>
              </w:rPr>
              <w:t xml:space="preserve"> та видаткову накладну</w:t>
            </w:r>
            <w:r w:rsidRPr="00E32946">
              <w:rPr>
                <w:rFonts w:ascii="Times New Roman" w:eastAsia="Tahoma" w:hAnsi="Times New Roman"/>
                <w:color w:val="000000"/>
                <w:sz w:val="24"/>
                <w:szCs w:val="24"/>
                <w:lang w:eastAsia="en-US"/>
              </w:rPr>
              <w:t xml:space="preserve">, шляхом оплати вартості поставленого Товару на поточний рахунок Постачальника, що вказаний у цьому Договорі, протягом </w:t>
            </w:r>
            <w:r>
              <w:rPr>
                <w:rFonts w:ascii="Times New Roman" w:eastAsia="Tahoma" w:hAnsi="Times New Roman"/>
                <w:color w:val="000000"/>
                <w:sz w:val="24"/>
                <w:szCs w:val="24"/>
                <w:lang w:eastAsia="en-US"/>
              </w:rPr>
              <w:t xml:space="preserve">п’яти </w:t>
            </w:r>
            <w:r w:rsidRPr="00E32946">
              <w:rPr>
                <w:rFonts w:ascii="Times New Roman" w:eastAsia="Tahoma" w:hAnsi="Times New Roman"/>
                <w:color w:val="000000"/>
                <w:sz w:val="24"/>
                <w:szCs w:val="24"/>
                <w:lang w:eastAsia="en-US"/>
              </w:rPr>
              <w:t>календарних днів з моменту поставки партії Товару</w:t>
            </w:r>
          </w:p>
          <w:p w:rsidR="00814A32" w:rsidRPr="0062737B" w:rsidRDefault="00814A32" w:rsidP="00DB3628">
            <w:pPr>
              <w:tabs>
                <w:tab w:val="left" w:pos="1134"/>
              </w:tabs>
              <w:ind w:left="34"/>
              <w:jc w:val="both"/>
              <w:textAlignment w:val="top"/>
              <w:rPr>
                <w:rFonts w:eastAsia="Tahoma"/>
                <w:color w:val="000000"/>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32" w:rsidRPr="0062737B" w:rsidRDefault="00814A32" w:rsidP="007D4206">
            <w:pPr>
              <w:ind w:left="113" w:right="113"/>
              <w:jc w:val="cente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rsidP="009C3985">
            <w:pPr>
              <w:jc w:val="center"/>
              <w:rPr>
                <w:bCs/>
                <w:color w:val="000000"/>
                <w:lang w:val="ru-RU"/>
              </w:rPr>
            </w:pPr>
            <w:r>
              <w:rPr>
                <w:bCs/>
                <w:color w:val="000000"/>
                <w:lang w:val="ru-RU"/>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pPr>
              <w:jc w:val="center"/>
              <w:rPr>
                <w:bCs/>
                <w:color w:val="000000"/>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A32" w:rsidRPr="00814A32" w:rsidRDefault="00814A32" w:rsidP="009C3985">
            <w:pPr>
              <w:jc w:val="center"/>
              <w:rPr>
                <w:b/>
                <w:bCs/>
                <w:color w:val="000000"/>
                <w:highlight w:val="yellow"/>
              </w:rPr>
            </w:pPr>
            <w:r w:rsidRPr="003443EB">
              <w:t>55</w:t>
            </w:r>
          </w:p>
        </w:tc>
      </w:tr>
      <w:tr w:rsidR="00814A32" w:rsidRPr="0062737B" w:rsidTr="00814A32">
        <w:trPr>
          <w:cantSplit/>
          <w:trHeight w:val="2315"/>
        </w:trPr>
        <w:tc>
          <w:tcPr>
            <w:tcW w:w="1276" w:type="dxa"/>
            <w:vMerge/>
            <w:tcBorders>
              <w:left w:val="single" w:sz="4" w:space="0" w:color="000000"/>
              <w:bottom w:val="single" w:sz="4" w:space="0" w:color="auto"/>
              <w:right w:val="single" w:sz="4" w:space="0" w:color="000000"/>
            </w:tcBorders>
            <w:vAlign w:val="center"/>
          </w:tcPr>
          <w:p w:rsidR="00814A32" w:rsidRPr="0062737B" w:rsidRDefault="00814A32">
            <w:pPr>
              <w:tabs>
                <w:tab w:val="left" w:pos="1134"/>
              </w:tabs>
              <w:ind w:firstLine="33"/>
              <w:jc w:val="center"/>
              <w:textAlignment w:val="top"/>
              <w:rPr>
                <w:rFonts w:eastAsia="Tahoma"/>
                <w:color w:val="000000"/>
              </w:rPr>
            </w:pPr>
          </w:p>
        </w:tc>
        <w:tc>
          <w:tcPr>
            <w:tcW w:w="4111" w:type="dxa"/>
            <w:tcBorders>
              <w:top w:val="single" w:sz="4" w:space="0" w:color="000000"/>
              <w:left w:val="single" w:sz="4" w:space="0" w:color="000000"/>
              <w:bottom w:val="single" w:sz="4" w:space="0" w:color="auto"/>
              <w:right w:val="single" w:sz="4" w:space="0" w:color="000000"/>
            </w:tcBorders>
            <w:vAlign w:val="center"/>
          </w:tcPr>
          <w:p w:rsidR="00814A32" w:rsidRDefault="00814A32" w:rsidP="00814A32">
            <w:pPr>
              <w:widowControl w:val="0"/>
              <w:tabs>
                <w:tab w:val="left" w:pos="1134"/>
              </w:tabs>
              <w:spacing w:after="0"/>
              <w:ind w:left="34"/>
              <w:jc w:val="both"/>
              <w:textAlignment w:val="top"/>
              <w:rPr>
                <w:rFonts w:eastAsia="Tahoma" w:cs="Times New Roman"/>
                <w:color w:val="000000"/>
                <w:sz w:val="24"/>
                <w:szCs w:val="24"/>
                <w:lang w:eastAsia="en-US"/>
              </w:rPr>
            </w:pPr>
            <w:r>
              <w:rPr>
                <w:rFonts w:eastAsia="Tahoma" w:cs="Times New Roman"/>
                <w:color w:val="000000"/>
                <w:sz w:val="24"/>
                <w:szCs w:val="24"/>
                <w:lang w:eastAsia="en-US"/>
              </w:rPr>
              <w:t>5.3. У випадку наявності бюджетного фінансування, р</w:t>
            </w:r>
            <w:r w:rsidRPr="00914993">
              <w:rPr>
                <w:rFonts w:eastAsia="Tahoma" w:cs="Times New Roman"/>
                <w:color w:val="000000"/>
                <w:sz w:val="24"/>
                <w:szCs w:val="24"/>
                <w:lang w:eastAsia="en-US"/>
              </w:rPr>
              <w:t>озрахунки здійснюються відповідно до статт</w:t>
            </w:r>
            <w:r>
              <w:rPr>
                <w:rFonts w:eastAsia="Tahoma" w:cs="Times New Roman"/>
                <w:color w:val="000000"/>
                <w:sz w:val="24"/>
                <w:szCs w:val="24"/>
                <w:lang w:eastAsia="en-US"/>
              </w:rPr>
              <w:t>і 49 Бюджетного кодексу України.</w:t>
            </w:r>
          </w:p>
          <w:p w:rsidR="00814A32" w:rsidRPr="00E32946" w:rsidRDefault="00814A32" w:rsidP="00814A32">
            <w:pPr>
              <w:pStyle w:val="a4"/>
              <w:tabs>
                <w:tab w:val="left" w:pos="993"/>
                <w:tab w:val="left" w:pos="1418"/>
                <w:tab w:val="left" w:pos="1701"/>
                <w:tab w:val="left" w:pos="3861"/>
                <w:tab w:val="left" w:pos="3895"/>
              </w:tabs>
              <w:spacing w:after="0" w:line="240" w:lineRule="auto"/>
              <w:ind w:left="34" w:right="175"/>
              <w:jc w:val="both"/>
              <w:textAlignment w:val="top"/>
              <w:rPr>
                <w:rFonts w:ascii="Times New Roman" w:eastAsia="Tahoma" w:hAnsi="Times New Roman"/>
                <w:color w:val="000000"/>
                <w:sz w:val="24"/>
                <w:szCs w:val="24"/>
                <w:lang w:eastAsia="en-US"/>
              </w:rPr>
            </w:pPr>
            <w:r>
              <w:rPr>
                <w:rFonts w:ascii="Times New Roman" w:hAnsi="Times New Roman"/>
                <w:sz w:val="24"/>
                <w:szCs w:val="24"/>
              </w:rPr>
              <w:t xml:space="preserve">5.4. </w:t>
            </w:r>
            <w:r w:rsidRPr="00914993">
              <w:rPr>
                <w:rFonts w:ascii="Times New Roman" w:hAnsi="Times New Roman"/>
                <w:sz w:val="24"/>
                <w:szCs w:val="24"/>
              </w:rPr>
              <w:t>У разі затримки бюджетного фінансування розрахунки за поставлений Товар</w:t>
            </w:r>
            <w:r>
              <w:rPr>
                <w:rFonts w:ascii="Times New Roman" w:hAnsi="Times New Roman"/>
                <w:sz w:val="24"/>
                <w:szCs w:val="24"/>
              </w:rPr>
              <w:t xml:space="preserve"> </w:t>
            </w:r>
            <w:r w:rsidRPr="00914993">
              <w:rPr>
                <w:rFonts w:ascii="Times New Roman" w:hAnsi="Times New Roman"/>
                <w:sz w:val="24"/>
                <w:szCs w:val="24"/>
              </w:rPr>
              <w:t xml:space="preserve">здійснюються протягом </w:t>
            </w:r>
            <w:r w:rsidRPr="00E17BE5">
              <w:rPr>
                <w:rFonts w:ascii="Times New Roman" w:hAnsi="Times New Roman"/>
                <w:sz w:val="24"/>
                <w:szCs w:val="24"/>
              </w:rPr>
              <w:t xml:space="preserve">20 (двадцяти) </w:t>
            </w:r>
            <w:r w:rsidRPr="00914993">
              <w:rPr>
                <w:rFonts w:ascii="Times New Roman" w:hAnsi="Times New Roman"/>
                <w:sz w:val="24"/>
                <w:szCs w:val="24"/>
              </w:rPr>
              <w:t>календарних днів з дати отримання Замовником</w:t>
            </w:r>
            <w:r>
              <w:rPr>
                <w:rFonts w:ascii="Times New Roman" w:hAnsi="Times New Roman"/>
                <w:sz w:val="24"/>
                <w:szCs w:val="24"/>
              </w:rPr>
              <w:t xml:space="preserve"> </w:t>
            </w:r>
            <w:r w:rsidRPr="00914993">
              <w:rPr>
                <w:rFonts w:ascii="Times New Roman" w:hAnsi="Times New Roman"/>
                <w:sz w:val="24"/>
                <w:szCs w:val="24"/>
              </w:rPr>
              <w:t>бюджетного фінансування на свій реєстраційний рахунок. Сторони при цьому досягли згоди,</w:t>
            </w:r>
            <w:r>
              <w:rPr>
                <w:rFonts w:ascii="Times New Roman" w:hAnsi="Times New Roman"/>
                <w:sz w:val="24"/>
                <w:szCs w:val="24"/>
              </w:rPr>
              <w:t xml:space="preserve"> </w:t>
            </w:r>
            <w:r w:rsidRPr="00914993">
              <w:rPr>
                <w:rFonts w:ascii="Times New Roman" w:hAnsi="Times New Roman"/>
                <w:sz w:val="24"/>
                <w:szCs w:val="24"/>
              </w:rPr>
              <w:t>що відповідальність, передбачена статтею 625 Цивільного кодексу України, не застосовується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814A32" w:rsidRDefault="00FB74C3" w:rsidP="007D4206">
            <w:pPr>
              <w:ind w:left="113" w:right="113"/>
              <w:jc w:val="center"/>
              <w:rPr>
                <w:rFonts w:eastAsia="Tahoma" w:cs="Times New Roman"/>
                <w:color w:val="000000"/>
                <w:sz w:val="24"/>
                <w:szCs w:val="24"/>
                <w:lang w:val="ru-RU"/>
              </w:rP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814A32" w:rsidRDefault="00FB74C3" w:rsidP="009C3985">
            <w:pPr>
              <w:jc w:val="center"/>
              <w:rPr>
                <w:bCs/>
                <w:color w:val="000000"/>
                <w:lang w:val="ru-RU"/>
              </w:rPr>
            </w:pPr>
            <w:r>
              <w:rPr>
                <w:bCs/>
                <w:color w:val="000000"/>
                <w:lang w:val="ru-RU"/>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814A32" w:rsidRDefault="00FB74C3">
            <w:pPr>
              <w:jc w:val="center"/>
              <w:rPr>
                <w:rFonts w:eastAsia="Tahoma" w:cs="Times New Roman"/>
                <w:color w:val="000000"/>
                <w:sz w:val="24"/>
                <w:szCs w:val="24"/>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tcPr>
          <w:p w:rsidR="00814A32" w:rsidRPr="00814A32" w:rsidRDefault="00814A32" w:rsidP="009C3985">
            <w:pPr>
              <w:jc w:val="center"/>
              <w:rPr>
                <w:highlight w:val="yellow"/>
              </w:rPr>
            </w:pPr>
            <w:r w:rsidRPr="003443EB">
              <w:t>45</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Default="00FB74C3" w:rsidP="00B9118D">
      <w:pPr>
        <w:spacing w:before="150" w:after="150"/>
        <w:jc w:val="both"/>
        <w:rPr>
          <w:rFonts w:eastAsia="Times New Roman"/>
          <w:b/>
          <w:sz w:val="24"/>
          <w:szCs w:val="24"/>
          <w:u w:val="single"/>
          <w:lang w:eastAsia="ru-RU"/>
        </w:rPr>
      </w:pPr>
      <w:r w:rsidRPr="003443EB">
        <w:rPr>
          <w:rFonts w:eastAsia="Times New Roman"/>
          <w:b/>
          <w:sz w:val="24"/>
          <w:szCs w:val="24"/>
          <w:u w:val="single"/>
          <w:lang w:eastAsia="ru-RU"/>
        </w:rPr>
        <w:t>В</w:t>
      </w:r>
      <w:r w:rsidR="00B9118D" w:rsidRPr="003443EB">
        <w:rPr>
          <w:rFonts w:eastAsia="Times New Roman"/>
          <w:b/>
          <w:sz w:val="24"/>
          <w:szCs w:val="24"/>
          <w:u w:val="single"/>
          <w:lang w:eastAsia="ru-RU"/>
        </w:rPr>
        <w:t>имагається</w:t>
      </w:r>
    </w:p>
    <w:p w:rsidR="00520BEB" w:rsidRPr="00063DD8"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 xml:space="preserve">Розмір забезпечення тендерної пропозиції: </w:t>
      </w:r>
      <w:r w:rsidRPr="003443EB">
        <w:rPr>
          <w:rFonts w:eastAsia="Times New Roman"/>
          <w:b/>
          <w:sz w:val="24"/>
          <w:szCs w:val="24"/>
          <w:lang w:eastAsia="ru-RU"/>
        </w:rPr>
        <w:t>370 000,00 грн</w:t>
      </w:r>
      <w:r w:rsidRPr="003443EB">
        <w:rPr>
          <w:rFonts w:eastAsia="Times New Roman"/>
          <w:sz w:val="24"/>
          <w:szCs w:val="24"/>
          <w:lang w:eastAsia="ru-RU"/>
        </w:rPr>
        <w:t>.</w:t>
      </w:r>
    </w:p>
    <w:p w:rsidR="00520BEB"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20BEB" w:rsidRPr="00DD5D41"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1) щодо повного найменування гаранта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10) строк сплати коштів за гарантією зазначається в робочих або банківських днях;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20BEB" w:rsidRPr="00840515" w:rsidRDefault="00520BEB" w:rsidP="00520BEB">
      <w:pPr>
        <w:spacing w:before="150" w:after="150"/>
        <w:jc w:val="both"/>
        <w:rPr>
          <w:rFonts w:eastAsia="Times New Roman"/>
          <w:b/>
          <w:sz w:val="24"/>
          <w:szCs w:val="24"/>
          <w:u w:val="single"/>
          <w:lang w:eastAsia="ru-RU"/>
        </w:rPr>
      </w:pPr>
      <w:r w:rsidRPr="00DD5D41">
        <w:rPr>
          <w:rFonts w:eastAsia="Times New Roman"/>
          <w:sz w:val="24"/>
          <w:szCs w:val="24"/>
          <w:lang w:eastAsia="ru-RU"/>
        </w:rPr>
        <w:t>Код ЄДРПОУ: 03328497</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roman"/>
    <w:notTrueType/>
    <w:pitch w:val="default"/>
    <w:sig w:usb0="00000003" w:usb1="00000000" w:usb2="00000000" w:usb3="00000000" w:csb0="00000001" w:csb1="00000000"/>
  </w:font>
  <w:font w:name="Arno Pro">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6"/>
  </w:num>
  <w:num w:numId="9">
    <w:abstractNumId w:val="3"/>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509F8"/>
    <w:rsid w:val="00170C25"/>
    <w:rsid w:val="00191DD8"/>
    <w:rsid w:val="002157A5"/>
    <w:rsid w:val="002174FF"/>
    <w:rsid w:val="002416D4"/>
    <w:rsid w:val="00253424"/>
    <w:rsid w:val="0028464E"/>
    <w:rsid w:val="00285501"/>
    <w:rsid w:val="002972BA"/>
    <w:rsid w:val="003443EB"/>
    <w:rsid w:val="00362574"/>
    <w:rsid w:val="003A5862"/>
    <w:rsid w:val="003A6237"/>
    <w:rsid w:val="003B3520"/>
    <w:rsid w:val="003B3E83"/>
    <w:rsid w:val="003C03E3"/>
    <w:rsid w:val="00413374"/>
    <w:rsid w:val="004A496F"/>
    <w:rsid w:val="004D408F"/>
    <w:rsid w:val="005071B1"/>
    <w:rsid w:val="00520BEB"/>
    <w:rsid w:val="0056427C"/>
    <w:rsid w:val="00574729"/>
    <w:rsid w:val="005A7B00"/>
    <w:rsid w:val="005C1A42"/>
    <w:rsid w:val="005C6D44"/>
    <w:rsid w:val="0062737B"/>
    <w:rsid w:val="00635CA8"/>
    <w:rsid w:val="00666F7A"/>
    <w:rsid w:val="00677C99"/>
    <w:rsid w:val="00695C57"/>
    <w:rsid w:val="006A5FE1"/>
    <w:rsid w:val="006B6413"/>
    <w:rsid w:val="006F57E5"/>
    <w:rsid w:val="00734ADA"/>
    <w:rsid w:val="00773653"/>
    <w:rsid w:val="007A08CF"/>
    <w:rsid w:val="007D4206"/>
    <w:rsid w:val="007F3084"/>
    <w:rsid w:val="00805670"/>
    <w:rsid w:val="00811CCE"/>
    <w:rsid w:val="00814A32"/>
    <w:rsid w:val="00817B58"/>
    <w:rsid w:val="00834427"/>
    <w:rsid w:val="008A5D4F"/>
    <w:rsid w:val="008B6D49"/>
    <w:rsid w:val="008D3EE4"/>
    <w:rsid w:val="008D4B72"/>
    <w:rsid w:val="008E5CEC"/>
    <w:rsid w:val="00932BDA"/>
    <w:rsid w:val="00935AA7"/>
    <w:rsid w:val="009671EF"/>
    <w:rsid w:val="00972034"/>
    <w:rsid w:val="009C3985"/>
    <w:rsid w:val="00A356F3"/>
    <w:rsid w:val="00A6434B"/>
    <w:rsid w:val="00A6685A"/>
    <w:rsid w:val="00B23051"/>
    <w:rsid w:val="00B42F75"/>
    <w:rsid w:val="00B8374D"/>
    <w:rsid w:val="00B9118D"/>
    <w:rsid w:val="00BA1715"/>
    <w:rsid w:val="00BC72D3"/>
    <w:rsid w:val="00BE3BBA"/>
    <w:rsid w:val="00C30A77"/>
    <w:rsid w:val="00C3572D"/>
    <w:rsid w:val="00C428B0"/>
    <w:rsid w:val="00C43643"/>
    <w:rsid w:val="00CB25FF"/>
    <w:rsid w:val="00CE51B5"/>
    <w:rsid w:val="00D7589B"/>
    <w:rsid w:val="00D86862"/>
    <w:rsid w:val="00DB245B"/>
    <w:rsid w:val="00DB3628"/>
    <w:rsid w:val="00DD142A"/>
    <w:rsid w:val="00DF3743"/>
    <w:rsid w:val="00DF3B61"/>
    <w:rsid w:val="00E23973"/>
    <w:rsid w:val="00E36405"/>
    <w:rsid w:val="00E46599"/>
    <w:rsid w:val="00E94174"/>
    <w:rsid w:val="00ED400B"/>
    <w:rsid w:val="00ED478D"/>
    <w:rsid w:val="00F57DF0"/>
    <w:rsid w:val="00F85800"/>
    <w:rsid w:val="00F9404B"/>
    <w:rsid w:val="00FA39E7"/>
    <w:rsid w:val="00FB2F57"/>
    <w:rsid w:val="00FB3CFD"/>
    <w:rsid w:val="00FB7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5</Pages>
  <Words>8020</Words>
  <Characters>4572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tender-1</cp:lastModifiedBy>
  <cp:revision>70</cp:revision>
  <dcterms:created xsi:type="dcterms:W3CDTF">2022-10-31T09:32:00Z</dcterms:created>
  <dcterms:modified xsi:type="dcterms:W3CDTF">2023-04-06T10:51:00Z</dcterms:modified>
</cp:coreProperties>
</file>