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17C8" w14:textId="318DA859" w:rsidR="00EA3F0E" w:rsidRPr="0037706D" w:rsidRDefault="00EA3F0E" w:rsidP="00EA3F0E">
      <w:pPr>
        <w:jc w:val="right"/>
        <w:rPr>
          <w:rFonts w:ascii="Times New Roman" w:hAnsi="Times New Roman" w:cs="Times New Roman"/>
          <w:b/>
          <w:sz w:val="24"/>
          <w:szCs w:val="24"/>
        </w:rPr>
      </w:pPr>
      <w:r>
        <w:rPr>
          <w:rFonts w:ascii="Times New Roman" w:hAnsi="Times New Roman" w:cs="Times New Roman"/>
          <w:b/>
          <w:sz w:val="24"/>
          <w:szCs w:val="24"/>
        </w:rPr>
        <w:t>Додаток 2</w:t>
      </w:r>
      <w:r w:rsidRPr="0037706D">
        <w:rPr>
          <w:rFonts w:ascii="Times New Roman" w:hAnsi="Times New Roman" w:cs="Times New Roman"/>
          <w:b/>
          <w:sz w:val="24"/>
          <w:szCs w:val="24"/>
        </w:rPr>
        <w:t xml:space="preserve"> до тендерної документації </w:t>
      </w:r>
    </w:p>
    <w:p w14:paraId="2D4F7DAD" w14:textId="77777777" w:rsidR="00EA3F0E" w:rsidRDefault="00EA3F0E" w:rsidP="00277530">
      <w:pPr>
        <w:pStyle w:val="NormalWeb"/>
        <w:spacing w:before="0" w:beforeAutospacing="0" w:after="0" w:afterAutospacing="0"/>
        <w:jc w:val="center"/>
        <w:rPr>
          <w:b/>
          <w:bCs/>
        </w:rPr>
      </w:pPr>
    </w:p>
    <w:p w14:paraId="0F19FDEE" w14:textId="09E4E5C5" w:rsidR="00277530" w:rsidRDefault="00277530" w:rsidP="00277530">
      <w:pPr>
        <w:pStyle w:val="NormalWeb"/>
        <w:spacing w:before="0" w:beforeAutospacing="0" w:after="0" w:afterAutospacing="0"/>
        <w:jc w:val="center"/>
        <w:rPr>
          <w:b/>
          <w:bCs/>
        </w:rPr>
      </w:pPr>
      <w:r>
        <w:rPr>
          <w:b/>
          <w:bCs/>
        </w:rPr>
        <w:t>Технічне завдання</w:t>
      </w:r>
    </w:p>
    <w:p w14:paraId="732F4297" w14:textId="77777777" w:rsidR="00277530" w:rsidRDefault="00277530" w:rsidP="00277530">
      <w:pPr>
        <w:pStyle w:val="NormalWeb"/>
        <w:spacing w:before="0" w:beforeAutospacing="0" w:after="0" w:afterAutospacing="0"/>
        <w:jc w:val="center"/>
        <w:rPr>
          <w:b/>
          <w:bCs/>
        </w:rPr>
      </w:pPr>
      <w:r>
        <w:rPr>
          <w:b/>
          <w:bCs/>
        </w:rPr>
        <w:t xml:space="preserve">щодо предмету закупівлі </w:t>
      </w:r>
    </w:p>
    <w:p w14:paraId="771A7E5B" w14:textId="77777777" w:rsidR="00277530" w:rsidRDefault="00277530" w:rsidP="00277530">
      <w:pPr>
        <w:pStyle w:val="NormalWeb"/>
        <w:spacing w:before="0" w:beforeAutospacing="0" w:after="0" w:afterAutospacing="0"/>
        <w:jc w:val="center"/>
        <w:rPr>
          <w:b/>
          <w:bCs/>
        </w:rPr>
      </w:pPr>
    </w:p>
    <w:p w14:paraId="23E954B6" w14:textId="77777777" w:rsidR="009505F7" w:rsidRDefault="009505F7" w:rsidP="00EA3F0E">
      <w:pPr>
        <w:pStyle w:val="NormalWeb"/>
        <w:spacing w:before="0" w:beforeAutospacing="0" w:after="0" w:afterAutospacing="0"/>
        <w:jc w:val="center"/>
        <w:rPr>
          <w:b/>
          <w:spacing w:val="-3"/>
        </w:rPr>
      </w:pPr>
      <w:bookmarkStart w:id="0" w:name="_Hlk159573347"/>
      <w:r w:rsidRPr="009505F7">
        <w:rPr>
          <w:b/>
          <w:spacing w:val="-3"/>
        </w:rPr>
        <w:t>Монтаж системи пожежної сигналізації, системи керування евакуюванням (в частині систем оповіщення про пожежу і покажчиків напрямку евакуюванням) та системи передавання тривожних сповіщень у приміщеннях Ліцею №16 міста Житомира по вул. Тараса Бульби-Боровця, 15 в м. Житомир</w:t>
      </w:r>
    </w:p>
    <w:p w14:paraId="4E6E71A7" w14:textId="7C37BD62" w:rsidR="00277530" w:rsidRPr="00EA3F0E" w:rsidRDefault="00277530" w:rsidP="00EA3F0E">
      <w:pPr>
        <w:pStyle w:val="NormalWeb"/>
        <w:spacing w:before="0" w:beforeAutospacing="0" w:after="0" w:afterAutospacing="0"/>
        <w:jc w:val="center"/>
        <w:rPr>
          <w:bCs/>
          <w:color w:val="FF0000"/>
          <w:spacing w:val="-3"/>
        </w:rPr>
      </w:pPr>
      <w:r w:rsidRPr="00702B4E">
        <w:rPr>
          <w:b/>
          <w:spacing w:val="-3"/>
        </w:rPr>
        <w:t xml:space="preserve"> </w:t>
      </w:r>
      <w:bookmarkEnd w:id="0"/>
      <w:r w:rsidR="00EA3F0E" w:rsidRPr="00702B4E">
        <w:rPr>
          <w:bCs/>
          <w:spacing w:val="-3"/>
        </w:rPr>
        <w:t>(</w:t>
      </w:r>
      <w:r w:rsidRPr="00702B4E">
        <w:rPr>
          <w:bCs/>
          <w:spacing w:val="-3"/>
        </w:rPr>
        <w:t xml:space="preserve"> ДК 021:2015:</w:t>
      </w:r>
      <w:r w:rsidRPr="00702B4E">
        <w:t xml:space="preserve"> </w:t>
      </w:r>
      <w:r w:rsidR="009505F7" w:rsidRPr="009505F7">
        <w:rPr>
          <w:bCs/>
          <w:spacing w:val="-3"/>
        </w:rPr>
        <w:t>45310000-3-Електромонтажні роботи</w:t>
      </w:r>
      <w:r w:rsidR="00EA3F0E" w:rsidRPr="00702B4E">
        <w:rPr>
          <w:bCs/>
          <w:spacing w:val="-3"/>
        </w:rPr>
        <w:t>)</w:t>
      </w:r>
    </w:p>
    <w:p w14:paraId="7E0AF299" w14:textId="77777777" w:rsidR="00277530" w:rsidRDefault="00277530" w:rsidP="00277530">
      <w:pPr>
        <w:pStyle w:val="NormalWeb"/>
        <w:spacing w:before="0" w:beforeAutospacing="0" w:after="0" w:afterAutospacing="0"/>
        <w:jc w:val="both"/>
        <w:rPr>
          <w:bCs/>
          <w:spacing w:val="-3"/>
        </w:rPr>
      </w:pPr>
    </w:p>
    <w:p w14:paraId="50326167" w14:textId="77777777" w:rsidR="009505F7" w:rsidRPr="009505F7" w:rsidRDefault="009505F7" w:rsidP="009505F7">
      <w:pPr>
        <w:spacing w:after="0" w:line="240" w:lineRule="auto"/>
        <w:ind w:right="-1" w:firstLine="567"/>
        <w:jc w:val="both"/>
        <w:rPr>
          <w:rFonts w:ascii="Times New Roman" w:eastAsia="Times New Roman" w:hAnsi="Times New Roman" w:cs="Times New Roman"/>
          <w:bCs/>
          <w:kern w:val="0"/>
          <w:sz w:val="24"/>
          <w:szCs w:val="24"/>
          <w:lang w:eastAsia="ru-RU"/>
        </w:rPr>
      </w:pPr>
      <w:r w:rsidRPr="009505F7">
        <w:rPr>
          <w:rFonts w:ascii="Times New Roman" w:eastAsia="Times New Roman" w:hAnsi="Times New Roman" w:cs="Times New Roman"/>
          <w:kern w:val="0"/>
          <w:sz w:val="24"/>
          <w:szCs w:val="24"/>
          <w:lang w:eastAsia="ru-RU"/>
        </w:rPr>
        <w:t xml:space="preserve">Технічним завданням передбачені </w:t>
      </w:r>
      <w:r w:rsidRPr="009505F7">
        <w:rPr>
          <w:rFonts w:ascii="Times New Roman" w:eastAsia="Times New Roman" w:hAnsi="Times New Roman" w:cs="Times New Roman"/>
          <w:bCs/>
          <w:spacing w:val="-3"/>
          <w:kern w:val="0"/>
          <w:sz w:val="24"/>
          <w:szCs w:val="24"/>
          <w:lang w:eastAsia="uk-UA"/>
        </w:rPr>
        <w:t>монтаж системи пожежної сигналізації, системи керування евакуюванням (в частині систем оповіщення про пожежу і покажчиків напрямку евакуюванням) та системи передавання тривожних сповіщень у приміщеннях Ліцею №16 міста Житомира.</w:t>
      </w:r>
    </w:p>
    <w:p w14:paraId="37CF8788" w14:textId="77777777" w:rsidR="009505F7" w:rsidRPr="009505F7" w:rsidRDefault="009505F7" w:rsidP="009505F7">
      <w:pPr>
        <w:spacing w:after="0" w:line="240" w:lineRule="auto"/>
        <w:ind w:left="5660" w:hanging="5376"/>
        <w:rPr>
          <w:rFonts w:ascii="Times New Roman" w:eastAsia="Times New Roman" w:hAnsi="Times New Roman" w:cs="Times New Roman"/>
          <w:color w:val="000000"/>
          <w:kern w:val="0"/>
          <w:sz w:val="24"/>
          <w:szCs w:val="24"/>
          <w:lang w:eastAsia="uk-UA"/>
        </w:rPr>
      </w:pPr>
    </w:p>
    <w:p w14:paraId="2F8F4174" w14:textId="77777777" w:rsidR="009505F7" w:rsidRPr="009505F7" w:rsidRDefault="009505F7" w:rsidP="009505F7">
      <w:pPr>
        <w:spacing w:after="0" w:line="240" w:lineRule="auto"/>
        <w:ind w:right="-2" w:firstLine="567"/>
        <w:rPr>
          <w:rFonts w:ascii="Times New Roman" w:eastAsia="Times New Roman" w:hAnsi="Times New Roman" w:cs="Times New Roman"/>
          <w:b/>
          <w:kern w:val="0"/>
          <w:sz w:val="24"/>
          <w:szCs w:val="24"/>
          <w:lang w:eastAsia="uk-UA"/>
        </w:rPr>
      </w:pPr>
      <w:r w:rsidRPr="009505F7">
        <w:rPr>
          <w:rFonts w:ascii="Times New Roman" w:eastAsia="Times New Roman" w:hAnsi="Times New Roman" w:cs="Times New Roman"/>
          <w:b/>
          <w:kern w:val="0"/>
          <w:sz w:val="24"/>
          <w:szCs w:val="24"/>
          <w:lang w:eastAsia="uk-UA"/>
        </w:rPr>
        <w:t xml:space="preserve">                                                    Загальні вимоги</w:t>
      </w:r>
    </w:p>
    <w:p w14:paraId="25CEB8D6" w14:textId="35AC98A7" w:rsidR="009505F7" w:rsidRPr="009505F7" w:rsidRDefault="009505F7" w:rsidP="009505F7">
      <w:pPr>
        <w:spacing w:after="0" w:line="216"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 xml:space="preserve">1. </w:t>
      </w:r>
      <w:r w:rsidRPr="009505F7">
        <w:rPr>
          <w:rFonts w:ascii="Times New Roman" w:eastAsia="Times New Roman" w:hAnsi="Times New Roman" w:cs="Times New Roman"/>
          <w:color w:val="000000"/>
          <w:kern w:val="0"/>
          <w:sz w:val="24"/>
          <w:szCs w:val="24"/>
          <w:lang w:eastAsia="uk-UA"/>
        </w:rPr>
        <w:t xml:space="preserve">Монтаж </w:t>
      </w:r>
      <w:r w:rsidRPr="009505F7">
        <w:rPr>
          <w:rFonts w:ascii="Times New Roman" w:eastAsia="Times New Roman" w:hAnsi="Times New Roman" w:cs="Times New Roman"/>
          <w:bCs/>
          <w:color w:val="000000"/>
          <w:kern w:val="0"/>
          <w:sz w:val="24"/>
          <w:szCs w:val="24"/>
          <w:lang w:eastAsia="uk-UA"/>
        </w:rPr>
        <w:t>системи пожежної сигналізації, системи керування евакуюванням (в частині систем оповіщення про пожежу і покажчиків напрямку евакуюванням) та системи передавання тривожних сповіщень</w:t>
      </w:r>
      <w:r w:rsidRPr="009505F7">
        <w:rPr>
          <w:rFonts w:ascii="Times New Roman" w:eastAsia="Times New Roman" w:hAnsi="Times New Roman" w:cs="Times New Roman"/>
          <w:color w:val="000000"/>
          <w:kern w:val="0"/>
          <w:sz w:val="24"/>
          <w:szCs w:val="24"/>
          <w:lang w:eastAsia="uk-UA"/>
        </w:rPr>
        <w:t xml:space="preserve"> повинен здійснюватись відповідно до затвердженої проєктної документації.</w:t>
      </w:r>
    </w:p>
    <w:p w14:paraId="0695BE57" w14:textId="188D566D" w:rsidR="009505F7" w:rsidRPr="009505F7" w:rsidRDefault="009505F7" w:rsidP="009505F7">
      <w:pPr>
        <w:spacing w:after="0" w:line="216"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 xml:space="preserve">2. </w:t>
      </w:r>
      <w:r w:rsidRPr="009505F7">
        <w:rPr>
          <w:rFonts w:ascii="Times New Roman" w:eastAsia="Times New Roman" w:hAnsi="Times New Roman" w:cs="Times New Roman"/>
          <w:color w:val="000000"/>
          <w:kern w:val="0"/>
          <w:sz w:val="24"/>
          <w:szCs w:val="24"/>
          <w:lang w:eastAsia="uk-UA"/>
        </w:rPr>
        <w:t>Змонтовані системи приймаються до експлуатації у порядку, визначеному в ДБН В.2.5-56-2014.</w:t>
      </w:r>
    </w:p>
    <w:p w14:paraId="39B3C5DB" w14:textId="2A11AC2F" w:rsidR="009505F7" w:rsidRPr="009505F7" w:rsidRDefault="009505F7" w:rsidP="009505F7">
      <w:pPr>
        <w:spacing w:after="0" w:line="216"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 xml:space="preserve">2. </w:t>
      </w:r>
      <w:r w:rsidRPr="009505F7">
        <w:rPr>
          <w:rFonts w:ascii="Times New Roman" w:eastAsia="Times New Roman" w:hAnsi="Times New Roman" w:cs="Times New Roman"/>
          <w:color w:val="000000"/>
          <w:kern w:val="0"/>
          <w:sz w:val="24"/>
          <w:szCs w:val="24"/>
          <w:lang w:eastAsia="uk-UA"/>
        </w:rPr>
        <w:t>Якість матеріальних ресурсів, що використовуються при виконанні робіт, повинна відповідати стандартам, технічним умовам, іншій технічній документації, яка встановлює вимоги до їх якості відповідно до законодавства України.</w:t>
      </w:r>
    </w:p>
    <w:p w14:paraId="40BA2984" w14:textId="1A211BA2" w:rsidR="009505F7" w:rsidRPr="009505F7" w:rsidRDefault="009505F7" w:rsidP="009505F7">
      <w:pPr>
        <w:spacing w:after="0" w:line="216"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color w:val="000000"/>
          <w:kern w:val="0"/>
          <w:sz w:val="24"/>
          <w:szCs w:val="24"/>
          <w:lang w:eastAsia="uk-UA"/>
        </w:rPr>
        <w:t xml:space="preserve">3. </w:t>
      </w:r>
      <w:r w:rsidRPr="009505F7">
        <w:rPr>
          <w:rFonts w:ascii="Times New Roman" w:eastAsia="Times New Roman" w:hAnsi="Times New Roman" w:cs="Times New Roman"/>
          <w:color w:val="000000"/>
          <w:kern w:val="0"/>
          <w:sz w:val="24"/>
          <w:szCs w:val="24"/>
          <w:lang w:eastAsia="uk-UA"/>
        </w:rPr>
        <w:t>Технічні характеристики основного протипожежного обладнання яке буде встановлено на об’єкті (відповідно до технічних вимог до предмету закупівлі) мають бути підтверджені в сертифікатах на це обладнання.</w:t>
      </w:r>
    </w:p>
    <w:p w14:paraId="40D78751" w14:textId="37172F75"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kern w:val="0"/>
          <w:sz w:val="24"/>
          <w:szCs w:val="24"/>
          <w:lang w:eastAsia="uk-UA"/>
        </w:rPr>
        <w:t xml:space="preserve">4. </w:t>
      </w:r>
      <w:r w:rsidRPr="009505F7">
        <w:rPr>
          <w:rFonts w:ascii="Times New Roman" w:eastAsia="Times New Roman" w:hAnsi="Times New Roman" w:cs="Times New Roman"/>
          <w:kern w:val="0"/>
          <w:sz w:val="24"/>
          <w:szCs w:val="24"/>
          <w:lang w:eastAsia="uk-UA"/>
        </w:rPr>
        <w:t>Усі матеріали та устаткування мають бути новими. Тобто такими, що не були у використанні. Про що у складі пропозиції надати гарантійний лист.</w:t>
      </w:r>
    </w:p>
    <w:p w14:paraId="276F0A84" w14:textId="0927E882" w:rsidR="009505F7" w:rsidRPr="009505F7" w:rsidRDefault="009505F7" w:rsidP="009505F7">
      <w:pPr>
        <w:spacing w:after="0" w:line="240" w:lineRule="auto"/>
        <w:jc w:val="both"/>
        <w:rPr>
          <w:rFonts w:ascii="Times New Roman" w:eastAsia="Times New Roman" w:hAnsi="Times New Roman" w:cs="Times New Roman"/>
          <w:kern w:val="0"/>
          <w:sz w:val="24"/>
          <w:szCs w:val="24"/>
          <w:lang w:eastAsia="uk-UA"/>
        </w:rPr>
      </w:pPr>
      <w:r>
        <w:rPr>
          <w:rFonts w:ascii="Times New Roman" w:eastAsia="Times New Roman" w:hAnsi="Times New Roman" w:cs="Times New Roman"/>
          <w:bCs/>
          <w:iCs/>
          <w:kern w:val="0"/>
          <w:sz w:val="24"/>
          <w:szCs w:val="24"/>
          <w:lang w:eastAsia="uk-UA"/>
        </w:rPr>
        <w:t xml:space="preserve">5. </w:t>
      </w:r>
      <w:r w:rsidRPr="009505F7">
        <w:rPr>
          <w:rFonts w:ascii="Times New Roman" w:eastAsia="Times New Roman" w:hAnsi="Times New Roman" w:cs="Times New Roman"/>
          <w:bCs/>
          <w:iCs/>
          <w:kern w:val="0"/>
          <w:sz w:val="24"/>
          <w:szCs w:val="24"/>
          <w:lang w:eastAsia="uk-UA"/>
        </w:rPr>
        <w:t xml:space="preserve">На виконання вимог ч. 4 ст. 23 Закону України «Про публічні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його походження чи спосіб виробництва, після кожного такого посилання  </w:t>
      </w:r>
      <w:r w:rsidRPr="009505F7">
        <w:rPr>
          <w:rFonts w:ascii="Times New Roman" w:eastAsia="Times New Roman" w:hAnsi="Times New Roman" w:cs="Times New Roman"/>
          <w:bCs/>
          <w:iCs/>
          <w:spacing w:val="-3"/>
          <w:kern w:val="0"/>
          <w:sz w:val="24"/>
          <w:szCs w:val="24"/>
          <w:lang w:eastAsia="uk-UA"/>
        </w:rPr>
        <w:t>слід доповнити,  читати і сприймати з виразом «або еквівалент».</w:t>
      </w:r>
    </w:p>
    <w:p w14:paraId="69F3267E" w14:textId="2291D768" w:rsidR="009505F7" w:rsidRPr="009505F7" w:rsidRDefault="009505F7" w:rsidP="009505F7">
      <w:pPr>
        <w:spacing w:after="0" w:line="240" w:lineRule="auto"/>
        <w:contextualSpacing/>
        <w:jc w:val="both"/>
        <w:rPr>
          <w:rFonts w:ascii="Times New Roman" w:eastAsia="Calibri" w:hAnsi="Times New Roman" w:cs="Times New Roman"/>
          <w:color w:val="FF0000"/>
          <w:kern w:val="0"/>
          <w:sz w:val="24"/>
          <w:szCs w:val="24"/>
        </w:rPr>
      </w:pPr>
      <w:r>
        <w:rPr>
          <w:rFonts w:ascii="Times New Roman" w:eastAsia="Calibri" w:hAnsi="Times New Roman" w:cs="Times New Roman"/>
          <w:kern w:val="0"/>
          <w:sz w:val="24"/>
          <w:szCs w:val="24"/>
        </w:rPr>
        <w:t xml:space="preserve">6. </w:t>
      </w:r>
      <w:r w:rsidRPr="009505F7">
        <w:rPr>
          <w:rFonts w:ascii="Times New Roman" w:eastAsia="Calibri" w:hAnsi="Times New Roman" w:cs="Times New Roman"/>
          <w:color w:val="000000"/>
          <w:kern w:val="0"/>
          <w:sz w:val="24"/>
          <w:szCs w:val="24"/>
        </w:rPr>
        <w:t>Учасник гарантує надійність і якість виконаних, закінчених робіт і змонтованого обладнання, та можливість його експлуатації протягом гарантійного строку, який має складати не менше 12 місяців.</w:t>
      </w:r>
    </w:p>
    <w:p w14:paraId="3018A6FC" w14:textId="23888104" w:rsidR="009505F7" w:rsidRPr="009505F7" w:rsidRDefault="009505F7" w:rsidP="009505F7">
      <w:pPr>
        <w:spacing w:after="0" w:line="240" w:lineRule="auto"/>
        <w:jc w:val="both"/>
        <w:rPr>
          <w:rFonts w:ascii="Times New Roman" w:eastAsia="Times New Roman" w:hAnsi="Times New Roman" w:cs="Times New Roman"/>
          <w:color w:val="000000"/>
          <w:kern w:val="0"/>
          <w:sz w:val="24"/>
          <w:szCs w:val="24"/>
          <w:lang w:eastAsia="uk-UA"/>
        </w:rPr>
      </w:pPr>
      <w:r>
        <w:rPr>
          <w:rFonts w:ascii="Times New Roman" w:eastAsia="Times New Roman" w:hAnsi="Times New Roman" w:cs="Times New Roman"/>
          <w:kern w:val="0"/>
          <w:sz w:val="24"/>
          <w:szCs w:val="24"/>
          <w:lang w:eastAsia="uk-UA"/>
        </w:rPr>
        <w:t xml:space="preserve">7. </w:t>
      </w:r>
      <w:r w:rsidRPr="009505F7">
        <w:rPr>
          <w:rFonts w:ascii="Times New Roman" w:eastAsia="Times New Roman" w:hAnsi="Times New Roman" w:cs="Times New Roman"/>
          <w:color w:val="000000"/>
          <w:kern w:val="0"/>
          <w:sz w:val="24"/>
          <w:szCs w:val="24"/>
          <w:lang w:eastAsia="uk-UA"/>
        </w:rPr>
        <w:t xml:space="preserve">Обладнання, яке вийшло з ладу впродовж гарантійного терміну, який складає не менше 12 місяців, замінюється Учасником не більше ніж за 48 годин з моменту виникнення несправності, після письмового повідомлення Замовником про несправність систем. З огляду на це Учасник 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 </w:t>
      </w:r>
    </w:p>
    <w:p w14:paraId="3CCAEB03"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uk-UA"/>
        </w:rPr>
      </w:pPr>
    </w:p>
    <w:p w14:paraId="476C6327" w14:textId="6A598492" w:rsidR="009505F7" w:rsidRPr="009505F7" w:rsidRDefault="009505F7" w:rsidP="009505F7">
      <w:pPr>
        <w:spacing w:after="0" w:line="240" w:lineRule="auto"/>
        <w:ind w:right="-426"/>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b/>
          <w:bCs/>
          <w:color w:val="000000"/>
          <w:kern w:val="0"/>
          <w:sz w:val="24"/>
          <w:szCs w:val="24"/>
          <w:lang w:eastAsia="ru-RU"/>
        </w:rPr>
        <w:t>Вимоги до якості робіт</w:t>
      </w:r>
    </w:p>
    <w:p w14:paraId="24249B86" w14:textId="77777777" w:rsidR="009505F7" w:rsidRPr="009505F7" w:rsidRDefault="009505F7" w:rsidP="009505F7">
      <w:pPr>
        <w:widowControl w:val="0"/>
        <w:shd w:val="clear" w:color="auto" w:fill="FFFFFF"/>
        <w:spacing w:after="0" w:line="240" w:lineRule="auto"/>
        <w:ind w:left="-567" w:right="-1" w:firstLine="709"/>
        <w:jc w:val="both"/>
        <w:rPr>
          <w:rFonts w:ascii="Times New Roman" w:eastAsia="Times New Roman" w:hAnsi="Times New Roman" w:cs="Times New Roman"/>
          <w:color w:val="000000"/>
          <w:kern w:val="0"/>
          <w:sz w:val="24"/>
          <w:szCs w:val="24"/>
          <w:lang w:eastAsia="ru-RU"/>
        </w:rPr>
      </w:pPr>
      <w:r w:rsidRPr="009505F7">
        <w:rPr>
          <w:rFonts w:ascii="Times New Roman" w:eastAsia="Times New Roman" w:hAnsi="Times New Roman" w:cs="Times New Roman"/>
          <w:color w:val="000000"/>
          <w:kern w:val="0"/>
          <w:sz w:val="24"/>
          <w:szCs w:val="24"/>
          <w:lang w:eastAsia="ru-RU"/>
        </w:rPr>
        <w:t>Матеріали, що використовуються для виконання робіт повинні мати наступні параметри:</w:t>
      </w:r>
    </w:p>
    <w:p w14:paraId="2B6F1AAE" w14:textId="77777777" w:rsidR="009505F7" w:rsidRPr="009505F7" w:rsidRDefault="009505F7" w:rsidP="009505F7">
      <w:pPr>
        <w:widowControl w:val="0"/>
        <w:numPr>
          <w:ilvl w:val="0"/>
          <w:numId w:val="2"/>
        </w:numPr>
        <w:shd w:val="clear" w:color="auto" w:fill="FFFFFF"/>
        <w:tabs>
          <w:tab w:val="left" w:pos="906"/>
        </w:tabs>
        <w:spacing w:after="0" w:line="240" w:lineRule="auto"/>
        <w:ind w:right="-1" w:hanging="567"/>
        <w:contextualSpacing/>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color w:val="000000"/>
          <w:kern w:val="0"/>
          <w:sz w:val="24"/>
          <w:szCs w:val="24"/>
          <w:lang w:eastAsia="ru-RU"/>
        </w:rPr>
        <w:t>не токсичні, не відносяться до горючих матеріалів;</w:t>
      </w:r>
    </w:p>
    <w:p w14:paraId="605F4520" w14:textId="77777777" w:rsidR="009505F7" w:rsidRPr="009505F7" w:rsidRDefault="009505F7" w:rsidP="009505F7">
      <w:pPr>
        <w:widowControl w:val="0"/>
        <w:numPr>
          <w:ilvl w:val="0"/>
          <w:numId w:val="2"/>
        </w:numPr>
        <w:shd w:val="clear" w:color="auto" w:fill="FFFFFF"/>
        <w:tabs>
          <w:tab w:val="left" w:pos="906"/>
        </w:tabs>
        <w:spacing w:after="0" w:line="240" w:lineRule="auto"/>
        <w:ind w:right="-1" w:hanging="567"/>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color w:val="000000"/>
          <w:kern w:val="0"/>
          <w:sz w:val="24"/>
          <w:szCs w:val="24"/>
          <w:lang w:eastAsia="ru-RU"/>
        </w:rPr>
        <w:t>термін служби не менше 10 років;</w:t>
      </w:r>
    </w:p>
    <w:p w14:paraId="41EBB424" w14:textId="77777777" w:rsidR="009505F7" w:rsidRPr="009505F7" w:rsidRDefault="009505F7" w:rsidP="009505F7">
      <w:pPr>
        <w:widowControl w:val="0"/>
        <w:numPr>
          <w:ilvl w:val="0"/>
          <w:numId w:val="2"/>
        </w:numPr>
        <w:shd w:val="clear" w:color="auto" w:fill="FFFFFF"/>
        <w:tabs>
          <w:tab w:val="left" w:pos="906"/>
        </w:tabs>
        <w:spacing w:after="0" w:line="240" w:lineRule="auto"/>
        <w:ind w:right="-1" w:hanging="567"/>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color w:val="000000"/>
          <w:kern w:val="0"/>
          <w:sz w:val="24"/>
          <w:szCs w:val="24"/>
          <w:lang w:eastAsia="ru-RU"/>
        </w:rPr>
        <w:t>мати високі зносостійкі властивості;</w:t>
      </w:r>
    </w:p>
    <w:p w14:paraId="0A6AA8EA" w14:textId="77777777" w:rsidR="009505F7" w:rsidRPr="009505F7" w:rsidRDefault="009505F7" w:rsidP="009505F7">
      <w:pPr>
        <w:widowControl w:val="0"/>
        <w:numPr>
          <w:ilvl w:val="0"/>
          <w:numId w:val="2"/>
        </w:numPr>
        <w:shd w:val="clear" w:color="auto" w:fill="FFFFFF"/>
        <w:tabs>
          <w:tab w:val="left" w:pos="906"/>
        </w:tabs>
        <w:spacing w:after="0" w:line="240" w:lineRule="auto"/>
        <w:ind w:right="-1" w:hanging="567"/>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color w:val="000000"/>
          <w:kern w:val="0"/>
          <w:sz w:val="24"/>
          <w:szCs w:val="24"/>
          <w:lang w:eastAsia="ru-RU"/>
        </w:rPr>
        <w:t>відповідність вимогам безпеки.</w:t>
      </w:r>
    </w:p>
    <w:p w14:paraId="582C0DA3" w14:textId="660E4B9B" w:rsidR="009505F7" w:rsidRPr="009505F7" w:rsidRDefault="009505F7" w:rsidP="009505F7">
      <w:pPr>
        <w:widowControl w:val="0"/>
        <w:shd w:val="clear" w:color="auto" w:fill="FFFFFF"/>
        <w:tabs>
          <w:tab w:val="left" w:pos="906"/>
        </w:tabs>
        <w:spacing w:after="0" w:line="240" w:lineRule="auto"/>
        <w:ind w:left="720" w:right="-1" w:hanging="720"/>
        <w:rPr>
          <w:rFonts w:ascii="Times New Roman" w:eastAsia="Times New Roman" w:hAnsi="Times New Roman" w:cs="Times New Roman"/>
          <w:color w:val="000000"/>
          <w:kern w:val="0"/>
          <w:sz w:val="24"/>
          <w:szCs w:val="24"/>
          <w:lang w:eastAsia="ru-RU"/>
        </w:rPr>
      </w:pPr>
      <w:r w:rsidRPr="009505F7">
        <w:rPr>
          <w:rFonts w:ascii="Times New Roman" w:eastAsia="Times New Roman" w:hAnsi="Times New Roman" w:cs="Times New Roman"/>
          <w:color w:val="000000"/>
          <w:kern w:val="0"/>
          <w:sz w:val="24"/>
          <w:szCs w:val="24"/>
          <w:lang w:eastAsia="ru-RU"/>
        </w:rPr>
        <w:t>Роботи виконуються в будівлях, що експлуатуються.</w:t>
      </w:r>
    </w:p>
    <w:p w14:paraId="2D14126A" w14:textId="77777777" w:rsidR="009505F7" w:rsidRPr="009505F7" w:rsidRDefault="009505F7" w:rsidP="009505F7">
      <w:pPr>
        <w:spacing w:after="0" w:line="240" w:lineRule="auto"/>
        <w:jc w:val="center"/>
        <w:rPr>
          <w:rFonts w:ascii="Times New Roman" w:eastAsia="Times New Roman" w:hAnsi="Times New Roman" w:cs="Times New Roman"/>
          <w:b/>
          <w:bCs/>
          <w:kern w:val="0"/>
          <w:sz w:val="24"/>
          <w:szCs w:val="24"/>
          <w:lang w:eastAsia="uk-UA"/>
        </w:rPr>
      </w:pPr>
      <w:r w:rsidRPr="009505F7">
        <w:rPr>
          <w:rFonts w:ascii="Times New Roman" w:eastAsia="Times New Roman" w:hAnsi="Times New Roman" w:cs="Times New Roman"/>
          <w:b/>
          <w:bCs/>
          <w:kern w:val="0"/>
          <w:sz w:val="24"/>
          <w:szCs w:val="24"/>
          <w:lang w:eastAsia="uk-UA"/>
        </w:rPr>
        <w:lastRenderedPageBreak/>
        <w:t xml:space="preserve">Інформація про необхідні технічні, якісні та </w:t>
      </w:r>
    </w:p>
    <w:p w14:paraId="76132B12" w14:textId="77777777" w:rsidR="009505F7" w:rsidRPr="009505F7" w:rsidRDefault="009505F7" w:rsidP="009505F7">
      <w:pPr>
        <w:spacing w:after="0" w:line="240" w:lineRule="auto"/>
        <w:jc w:val="center"/>
        <w:rPr>
          <w:rFonts w:ascii="Times New Roman" w:eastAsia="Times New Roman" w:hAnsi="Times New Roman" w:cs="Times New Roman"/>
          <w:b/>
          <w:bCs/>
          <w:kern w:val="0"/>
          <w:sz w:val="24"/>
          <w:szCs w:val="24"/>
          <w:lang w:eastAsia="uk-UA"/>
        </w:rPr>
      </w:pPr>
      <w:r w:rsidRPr="009505F7">
        <w:rPr>
          <w:rFonts w:ascii="Times New Roman" w:eastAsia="Times New Roman" w:hAnsi="Times New Roman" w:cs="Times New Roman"/>
          <w:b/>
          <w:bCs/>
          <w:kern w:val="0"/>
          <w:sz w:val="24"/>
          <w:szCs w:val="24"/>
          <w:lang w:eastAsia="uk-UA"/>
        </w:rPr>
        <w:t>кількісні характеристики предмета закупівлі:</w:t>
      </w:r>
    </w:p>
    <w:p w14:paraId="58684514" w14:textId="77777777" w:rsidR="009505F7" w:rsidRPr="009505F7" w:rsidRDefault="009505F7" w:rsidP="009505F7">
      <w:pPr>
        <w:spacing w:after="0" w:line="240" w:lineRule="auto"/>
        <w:ind w:right="-2" w:firstLine="708"/>
        <w:jc w:val="both"/>
        <w:rPr>
          <w:rFonts w:ascii="Times New Roman" w:eastAsia="Times New Roman" w:hAnsi="Times New Roman" w:cs="Times New Roman"/>
          <w:kern w:val="0"/>
          <w:sz w:val="24"/>
          <w:szCs w:val="24"/>
          <w:lang w:eastAsia="uk-UA"/>
        </w:rPr>
      </w:pPr>
      <w:r w:rsidRPr="009505F7">
        <w:rPr>
          <w:rFonts w:ascii="Times New Roman" w:eastAsia="Times New Roman" w:hAnsi="Times New Roman" w:cs="Times New Roman"/>
          <w:kern w:val="0"/>
          <w:sz w:val="24"/>
          <w:szCs w:val="24"/>
          <w:lang w:eastAsia="uk-UA"/>
        </w:rPr>
        <w:t>Учасник визначає ціну пропозиції, з урахуванням всіх видів та обсягів робіт, що повинні бути виконані.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14:paraId="332EEDB4" w14:textId="77777777" w:rsidR="009505F7" w:rsidRPr="009505F7" w:rsidRDefault="009505F7" w:rsidP="009505F7">
      <w:pPr>
        <w:spacing w:after="0" w:line="240" w:lineRule="auto"/>
        <w:ind w:right="-2" w:firstLine="708"/>
        <w:jc w:val="both"/>
        <w:rPr>
          <w:rFonts w:ascii="Times New Roman" w:eastAsia="Times New Roman" w:hAnsi="Times New Roman" w:cs="Times New Roman"/>
          <w:kern w:val="0"/>
          <w:sz w:val="24"/>
          <w:szCs w:val="24"/>
          <w:lang w:eastAsia="uk-UA"/>
        </w:rPr>
      </w:pPr>
    </w:p>
    <w:p w14:paraId="06D925D4" w14:textId="4D7767C1" w:rsidR="009505F7" w:rsidRPr="009505F7" w:rsidRDefault="009505F7" w:rsidP="009505F7">
      <w:pPr>
        <w:spacing w:after="0" w:line="240" w:lineRule="auto"/>
        <w:ind w:right="-2" w:firstLine="567"/>
        <w:jc w:val="center"/>
        <w:rPr>
          <w:rFonts w:ascii="Times New Roman" w:eastAsia="Times New Roman" w:hAnsi="Times New Roman" w:cs="Times New Roman"/>
          <w:b/>
          <w:kern w:val="0"/>
          <w:sz w:val="24"/>
          <w:szCs w:val="24"/>
          <w:lang w:eastAsia="uk-UA"/>
        </w:rPr>
      </w:pPr>
      <w:r w:rsidRPr="009505F7">
        <w:rPr>
          <w:rFonts w:ascii="Times New Roman" w:eastAsia="Times New Roman" w:hAnsi="Times New Roman" w:cs="Times New Roman"/>
          <w:b/>
          <w:kern w:val="0"/>
          <w:sz w:val="24"/>
          <w:szCs w:val="24"/>
          <w:lang w:eastAsia="uk-UA"/>
        </w:rPr>
        <w:t>Відомість ресурсів та обсягів робіт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134"/>
        <w:gridCol w:w="1134"/>
        <w:gridCol w:w="993"/>
      </w:tblGrid>
      <w:tr w:rsidR="009505F7" w:rsidRPr="009505F7" w14:paraId="2EEF04EE" w14:textId="77777777" w:rsidTr="009505F7">
        <w:tc>
          <w:tcPr>
            <w:tcW w:w="534" w:type="dxa"/>
            <w:shd w:val="clear" w:color="auto" w:fill="auto"/>
            <w:vAlign w:val="center"/>
          </w:tcPr>
          <w:p w14:paraId="538CEFDC"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ru-RU"/>
              </w:rPr>
            </w:pPr>
            <w:r w:rsidRPr="009505F7">
              <w:rPr>
                <w:rFonts w:ascii="Times New Roman" w:eastAsia="Times New Roman" w:hAnsi="Times New Roman" w:cs="Times New Roman"/>
                <w:spacing w:val="-5"/>
                <w:kern w:val="0"/>
                <w:sz w:val="24"/>
                <w:szCs w:val="24"/>
                <w:lang w:eastAsia="ru-RU"/>
              </w:rPr>
              <w:t>№</w:t>
            </w:r>
          </w:p>
          <w:p w14:paraId="60DAAD73"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spacing w:val="-5"/>
                <w:kern w:val="0"/>
                <w:sz w:val="24"/>
                <w:szCs w:val="24"/>
                <w:lang w:eastAsia="ru-RU"/>
              </w:rPr>
              <w:t>з/п</w:t>
            </w:r>
          </w:p>
        </w:tc>
        <w:tc>
          <w:tcPr>
            <w:tcW w:w="6265" w:type="dxa"/>
            <w:shd w:val="clear" w:color="auto" w:fill="auto"/>
            <w:vAlign w:val="center"/>
          </w:tcPr>
          <w:p w14:paraId="403D0F83"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ru-RU"/>
              </w:rPr>
            </w:pPr>
          </w:p>
          <w:p w14:paraId="0188DC4D"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ru-RU"/>
              </w:rPr>
            </w:pPr>
            <w:r w:rsidRPr="009505F7">
              <w:rPr>
                <w:rFonts w:ascii="Times New Roman" w:eastAsia="Times New Roman" w:hAnsi="Times New Roman" w:cs="Times New Roman"/>
                <w:spacing w:val="-5"/>
                <w:kern w:val="0"/>
                <w:sz w:val="24"/>
                <w:szCs w:val="24"/>
                <w:lang w:eastAsia="ru-RU"/>
              </w:rPr>
              <w:t>Найменування робіт і витрат</w:t>
            </w:r>
          </w:p>
          <w:p w14:paraId="7A7822ED"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ru-RU"/>
              </w:rPr>
            </w:pPr>
          </w:p>
        </w:tc>
        <w:tc>
          <w:tcPr>
            <w:tcW w:w="1134" w:type="dxa"/>
            <w:shd w:val="clear" w:color="auto" w:fill="auto"/>
            <w:vAlign w:val="center"/>
          </w:tcPr>
          <w:p w14:paraId="6DE0DDB3" w14:textId="77777777" w:rsidR="009505F7" w:rsidRPr="009505F7" w:rsidRDefault="009505F7" w:rsidP="009505F7">
            <w:pPr>
              <w:keepLines/>
              <w:autoSpaceDE w:val="0"/>
              <w:autoSpaceDN w:val="0"/>
              <w:spacing w:after="0" w:line="240" w:lineRule="auto"/>
              <w:ind w:right="-107"/>
              <w:jc w:val="center"/>
              <w:rPr>
                <w:rFonts w:ascii="Times New Roman" w:eastAsia="Times New Roman" w:hAnsi="Times New Roman" w:cs="Times New Roman"/>
                <w:spacing w:val="-5"/>
                <w:kern w:val="0"/>
                <w:sz w:val="24"/>
                <w:szCs w:val="24"/>
                <w:lang w:eastAsia="ru-RU"/>
              </w:rPr>
            </w:pPr>
            <w:r w:rsidRPr="009505F7">
              <w:rPr>
                <w:rFonts w:ascii="Times New Roman" w:eastAsia="Times New Roman" w:hAnsi="Times New Roman" w:cs="Times New Roman"/>
                <w:spacing w:val="-5"/>
                <w:kern w:val="0"/>
                <w:sz w:val="24"/>
                <w:szCs w:val="24"/>
                <w:lang w:eastAsia="ru-RU"/>
              </w:rPr>
              <w:t>Одиниця</w:t>
            </w:r>
          </w:p>
          <w:p w14:paraId="66A60E4A" w14:textId="77777777" w:rsidR="009505F7" w:rsidRPr="009505F7" w:rsidRDefault="009505F7" w:rsidP="009505F7">
            <w:pPr>
              <w:keepLines/>
              <w:autoSpaceDE w:val="0"/>
              <w:autoSpaceDN w:val="0"/>
              <w:spacing w:after="0" w:line="240" w:lineRule="auto"/>
              <w:ind w:right="-107"/>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spacing w:val="-5"/>
                <w:kern w:val="0"/>
                <w:sz w:val="24"/>
                <w:szCs w:val="24"/>
                <w:lang w:eastAsia="ru-RU"/>
              </w:rPr>
              <w:t>виміру</w:t>
            </w:r>
          </w:p>
        </w:tc>
        <w:tc>
          <w:tcPr>
            <w:tcW w:w="1134" w:type="dxa"/>
            <w:shd w:val="clear" w:color="auto" w:fill="auto"/>
            <w:vAlign w:val="center"/>
          </w:tcPr>
          <w:p w14:paraId="0B7F2D3D"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spacing w:val="-5"/>
                <w:kern w:val="0"/>
                <w:sz w:val="24"/>
                <w:szCs w:val="24"/>
                <w:lang w:eastAsia="ru-RU"/>
              </w:rPr>
              <w:t>Кількість</w:t>
            </w:r>
          </w:p>
        </w:tc>
        <w:tc>
          <w:tcPr>
            <w:tcW w:w="993" w:type="dxa"/>
            <w:shd w:val="clear" w:color="auto" w:fill="auto"/>
            <w:vAlign w:val="center"/>
          </w:tcPr>
          <w:p w14:paraId="28F73668"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spacing w:val="-5"/>
                <w:kern w:val="0"/>
                <w:sz w:val="24"/>
                <w:szCs w:val="24"/>
                <w:lang w:eastAsia="ru-RU"/>
              </w:rPr>
              <w:t>Примітка</w:t>
            </w:r>
          </w:p>
        </w:tc>
      </w:tr>
      <w:tr w:rsidR="009505F7" w:rsidRPr="009505F7" w14:paraId="3807A417" w14:textId="77777777" w:rsidTr="009505F7">
        <w:tc>
          <w:tcPr>
            <w:tcW w:w="534" w:type="dxa"/>
            <w:shd w:val="clear" w:color="auto" w:fill="auto"/>
          </w:tcPr>
          <w:tbl>
            <w:tblPr>
              <w:tblW w:w="10265" w:type="dxa"/>
              <w:jc w:val="center"/>
              <w:tblLayout w:type="fixed"/>
              <w:tblCellMar>
                <w:left w:w="28" w:type="dxa"/>
                <w:right w:w="28" w:type="dxa"/>
              </w:tblCellMar>
              <w:tblLook w:val="0000" w:firstRow="0" w:lastRow="0" w:firstColumn="0" w:lastColumn="0" w:noHBand="0" w:noVBand="0"/>
            </w:tblPr>
            <w:tblGrid>
              <w:gridCol w:w="10265"/>
            </w:tblGrid>
            <w:tr w:rsidR="009505F7" w:rsidRPr="009505F7" w14:paraId="794DA665" w14:textId="77777777" w:rsidTr="002F28C7">
              <w:trPr>
                <w:jc w:val="center"/>
              </w:trPr>
              <w:tc>
                <w:tcPr>
                  <w:tcW w:w="10265" w:type="dxa"/>
                  <w:tcBorders>
                    <w:top w:val="nil"/>
                    <w:left w:val="single" w:sz="12" w:space="0" w:color="auto"/>
                    <w:bottom w:val="nil"/>
                    <w:right w:val="single" w:sz="4" w:space="0" w:color="auto"/>
                  </w:tcBorders>
                </w:tcPr>
                <w:p w14:paraId="229CED70"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uk-UA"/>
                    </w:rPr>
                  </w:pPr>
                  <w:r w:rsidRPr="009505F7">
                    <w:rPr>
                      <w:rFonts w:ascii="Times New Roman" w:eastAsia="Times New Roman" w:hAnsi="Times New Roman" w:cs="Times New Roman"/>
                      <w:spacing w:val="-5"/>
                      <w:kern w:val="0"/>
                      <w:sz w:val="24"/>
                      <w:szCs w:val="24"/>
                      <w:lang w:eastAsia="uk-UA"/>
                    </w:rPr>
                    <w:t>1.</w:t>
                  </w:r>
                </w:p>
              </w:tc>
            </w:tr>
            <w:tr w:rsidR="009505F7" w:rsidRPr="009505F7" w14:paraId="02C17958" w14:textId="77777777" w:rsidTr="002F28C7">
              <w:trPr>
                <w:jc w:val="center"/>
              </w:trPr>
              <w:tc>
                <w:tcPr>
                  <w:tcW w:w="10265" w:type="dxa"/>
                  <w:tcBorders>
                    <w:top w:val="nil"/>
                    <w:left w:val="single" w:sz="12" w:space="0" w:color="auto"/>
                    <w:bottom w:val="nil"/>
                    <w:right w:val="single" w:sz="4" w:space="0" w:color="auto"/>
                  </w:tcBorders>
                </w:tcPr>
                <w:p w14:paraId="32F56030"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w:t>
                  </w:r>
                </w:p>
                <w:p w14:paraId="0A77CFB5"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3.</w:t>
                  </w:r>
                </w:p>
                <w:p w14:paraId="3168040F"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4.</w:t>
                  </w:r>
                </w:p>
                <w:p w14:paraId="7E707ADA"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5.</w:t>
                  </w:r>
                </w:p>
                <w:p w14:paraId="3C26015F"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6.</w:t>
                  </w:r>
                </w:p>
                <w:p w14:paraId="190F5CE0"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7.</w:t>
                  </w:r>
                </w:p>
                <w:p w14:paraId="7D6ABC29"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uk-UA"/>
                    </w:rPr>
                  </w:pPr>
                  <w:r w:rsidRPr="009505F7">
                    <w:rPr>
                      <w:rFonts w:ascii="Times New Roman" w:eastAsia="Times New Roman" w:hAnsi="Times New Roman" w:cs="Times New Roman"/>
                      <w:kern w:val="0"/>
                      <w:sz w:val="24"/>
                      <w:szCs w:val="24"/>
                      <w:lang w:eastAsia="uk-UA"/>
                    </w:rPr>
                    <w:t>8.</w:t>
                  </w:r>
                </w:p>
              </w:tc>
            </w:tr>
            <w:tr w:rsidR="009505F7" w:rsidRPr="009505F7" w14:paraId="11212E5A" w14:textId="77777777" w:rsidTr="002F28C7">
              <w:trPr>
                <w:jc w:val="center"/>
              </w:trPr>
              <w:tc>
                <w:tcPr>
                  <w:tcW w:w="10265" w:type="dxa"/>
                  <w:tcBorders>
                    <w:top w:val="nil"/>
                    <w:left w:val="single" w:sz="12" w:space="0" w:color="auto"/>
                    <w:bottom w:val="nil"/>
                    <w:right w:val="single" w:sz="4" w:space="0" w:color="auto"/>
                  </w:tcBorders>
                </w:tcPr>
                <w:p w14:paraId="5358CF9A"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uk-UA"/>
                    </w:rPr>
                  </w:pPr>
                  <w:r w:rsidRPr="009505F7">
                    <w:rPr>
                      <w:rFonts w:ascii="Times New Roman" w:eastAsia="Times New Roman" w:hAnsi="Times New Roman" w:cs="Times New Roman"/>
                      <w:spacing w:val="-5"/>
                      <w:kern w:val="0"/>
                      <w:sz w:val="24"/>
                      <w:szCs w:val="24"/>
                      <w:lang w:eastAsia="uk-UA"/>
                    </w:rPr>
                    <w:t>9.</w:t>
                  </w:r>
                </w:p>
              </w:tc>
            </w:tr>
            <w:tr w:rsidR="009505F7" w:rsidRPr="009505F7" w14:paraId="1C3E0633" w14:textId="77777777" w:rsidTr="002F28C7">
              <w:trPr>
                <w:jc w:val="center"/>
              </w:trPr>
              <w:tc>
                <w:tcPr>
                  <w:tcW w:w="10265" w:type="dxa"/>
                  <w:tcBorders>
                    <w:top w:val="nil"/>
                    <w:left w:val="single" w:sz="12" w:space="0" w:color="auto"/>
                    <w:bottom w:val="nil"/>
                    <w:right w:val="single" w:sz="4" w:space="0" w:color="auto"/>
                  </w:tcBorders>
                </w:tcPr>
                <w:p w14:paraId="40FBF049"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uk-UA"/>
                    </w:rPr>
                  </w:pPr>
                  <w:r w:rsidRPr="009505F7">
                    <w:rPr>
                      <w:rFonts w:ascii="Times New Roman" w:eastAsia="Times New Roman" w:hAnsi="Times New Roman" w:cs="Times New Roman"/>
                      <w:kern w:val="0"/>
                      <w:sz w:val="24"/>
                      <w:szCs w:val="24"/>
                      <w:lang w:eastAsia="uk-UA"/>
                    </w:rPr>
                    <w:t>10.</w:t>
                  </w:r>
                </w:p>
              </w:tc>
            </w:tr>
            <w:tr w:rsidR="009505F7" w:rsidRPr="009505F7" w14:paraId="27793257" w14:textId="77777777" w:rsidTr="002F28C7">
              <w:trPr>
                <w:jc w:val="center"/>
              </w:trPr>
              <w:tc>
                <w:tcPr>
                  <w:tcW w:w="10265" w:type="dxa"/>
                  <w:tcBorders>
                    <w:top w:val="nil"/>
                    <w:left w:val="single" w:sz="12" w:space="0" w:color="auto"/>
                    <w:bottom w:val="nil"/>
                    <w:right w:val="single" w:sz="4" w:space="0" w:color="auto"/>
                  </w:tcBorders>
                </w:tcPr>
                <w:p w14:paraId="128098AA"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11.</w:t>
                  </w:r>
                </w:p>
                <w:p w14:paraId="6A6D65D5"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12.</w:t>
                  </w:r>
                </w:p>
                <w:p w14:paraId="01E87F70"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13.</w:t>
                  </w:r>
                </w:p>
                <w:p w14:paraId="4F6DA41C"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14.</w:t>
                  </w:r>
                </w:p>
                <w:p w14:paraId="3C3D9766"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15.</w:t>
                  </w:r>
                </w:p>
                <w:p w14:paraId="21E5EAA4"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16.</w:t>
                  </w:r>
                </w:p>
                <w:p w14:paraId="0C674D1A"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p>
                <w:p w14:paraId="7205A8C5"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p>
                <w:p w14:paraId="5E2894F6"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17.</w:t>
                  </w:r>
                </w:p>
                <w:p w14:paraId="55E783E6"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p>
                <w:p w14:paraId="2DBBE2ED"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18.</w:t>
                  </w:r>
                </w:p>
                <w:p w14:paraId="1BFD65CE"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p>
                <w:p w14:paraId="63376328"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19.</w:t>
                  </w:r>
                </w:p>
                <w:p w14:paraId="5EE3CEC5"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p>
                <w:p w14:paraId="64804237"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kern w:val="0"/>
                      <w:sz w:val="24"/>
                      <w:szCs w:val="24"/>
                      <w:lang w:eastAsia="uk-UA"/>
                    </w:rPr>
                  </w:pPr>
                  <w:r w:rsidRPr="009505F7">
                    <w:rPr>
                      <w:rFonts w:ascii="Times New Roman" w:eastAsia="Times New Roman" w:hAnsi="Times New Roman" w:cs="Times New Roman"/>
                      <w:spacing w:val="-5"/>
                      <w:kern w:val="0"/>
                      <w:sz w:val="24"/>
                      <w:szCs w:val="24"/>
                      <w:lang w:eastAsia="uk-UA"/>
                    </w:rPr>
                    <w:t>20.</w:t>
                  </w:r>
                </w:p>
              </w:tc>
            </w:tr>
          </w:tbl>
          <w:p w14:paraId="6F8CFED5" w14:textId="77777777" w:rsidR="009505F7" w:rsidRPr="009505F7" w:rsidRDefault="009505F7" w:rsidP="009505F7">
            <w:pPr>
              <w:keepLines/>
              <w:autoSpaceDE w:val="0"/>
              <w:autoSpaceDN w:val="0"/>
              <w:spacing w:after="0" w:line="240" w:lineRule="auto"/>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21.22.</w:t>
            </w:r>
          </w:p>
          <w:p w14:paraId="0F19194F"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23.</w:t>
            </w:r>
          </w:p>
          <w:p w14:paraId="50EC9CC7"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24.</w:t>
            </w:r>
          </w:p>
          <w:p w14:paraId="20475729"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25.</w:t>
            </w:r>
          </w:p>
          <w:p w14:paraId="6BE783B4"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p>
          <w:p w14:paraId="2BB478FE"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26.</w:t>
            </w:r>
          </w:p>
          <w:p w14:paraId="459271A1"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27.</w:t>
            </w:r>
          </w:p>
          <w:p w14:paraId="1E1E00A9" w14:textId="77777777" w:rsidR="009505F7" w:rsidRPr="009505F7" w:rsidRDefault="009505F7" w:rsidP="009505F7">
            <w:pPr>
              <w:keepLines/>
              <w:autoSpaceDE w:val="0"/>
              <w:autoSpaceDN w:val="0"/>
              <w:spacing w:after="0" w:line="240" w:lineRule="auto"/>
              <w:jc w:val="center"/>
              <w:rPr>
                <w:rFonts w:ascii="Times New Roman" w:eastAsia="Times New Roman" w:hAnsi="Times New Roman" w:cs="Times New Roman"/>
                <w:spacing w:val="-5"/>
                <w:kern w:val="0"/>
                <w:sz w:val="24"/>
                <w:szCs w:val="24"/>
                <w:lang w:eastAsia="uk-UA"/>
              </w:rPr>
            </w:pPr>
            <w:r w:rsidRPr="009505F7">
              <w:rPr>
                <w:rFonts w:ascii="Times New Roman" w:eastAsia="Times New Roman" w:hAnsi="Times New Roman" w:cs="Times New Roman"/>
                <w:spacing w:val="-5"/>
                <w:kern w:val="0"/>
                <w:sz w:val="24"/>
                <w:szCs w:val="24"/>
                <w:lang w:eastAsia="uk-UA"/>
              </w:rPr>
              <w:t>28.</w:t>
            </w:r>
          </w:p>
        </w:tc>
        <w:tc>
          <w:tcPr>
            <w:tcW w:w="6265" w:type="dxa"/>
            <w:shd w:val="clear" w:color="auto" w:fill="auto"/>
          </w:tcPr>
          <w:p w14:paraId="000C1EB4"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Прилад приймально-контрольний пожежний ПП КП "Тірас-16.128П"</w:t>
            </w:r>
          </w:p>
          <w:p w14:paraId="6C02818E"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Прилад розширення ППКП "Тірас-16П"</w:t>
            </w:r>
          </w:p>
          <w:p w14:paraId="37311E32"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Прилад розширення ППКП "Тірас-8П"</w:t>
            </w:r>
          </w:p>
          <w:p w14:paraId="72604425"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Модуль релейних ліній МРЛ 2.1.</w:t>
            </w:r>
          </w:p>
          <w:p w14:paraId="7223336D"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Акумулятор (7A/ч 12В)</w:t>
            </w:r>
          </w:p>
          <w:p w14:paraId="4B78E3B1"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Акумулятор (18A/ч 12В)</w:t>
            </w:r>
          </w:p>
          <w:p w14:paraId="77C3EA52"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 xml:space="preserve">Устаткування електроживлення БЖ1230 </w:t>
            </w:r>
          </w:p>
          <w:p w14:paraId="320130A5"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Сповіщувач пожежний димовий СПД-3</w:t>
            </w:r>
          </w:p>
          <w:p w14:paraId="72B3F04C"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Сповіщувач пожежний тепловий ТПТ-3</w:t>
            </w:r>
          </w:p>
          <w:p w14:paraId="7C1682F3"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Сповіщувач пожежний ручний SPR-1</w:t>
            </w:r>
          </w:p>
          <w:p w14:paraId="06AAA17D"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Оповіщувач пожежний світлозвуковий Джміль</w:t>
            </w:r>
          </w:p>
          <w:p w14:paraId="5B01D99A"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Оповіщувач пожежний світлозвуковий ОСЗ «ВИХІД»</w:t>
            </w:r>
          </w:p>
          <w:p w14:paraId="7105D4B1"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Комунікатор МЦА-GSM</w:t>
            </w:r>
          </w:p>
          <w:p w14:paraId="07BD6BC9"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Розподільча вогнестійка коробка типу КВР01/30 для кабельних ліній</w:t>
            </w:r>
          </w:p>
          <w:p w14:paraId="08DCBDA3"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Коробка монтажна сполучна КМС 2-12 з тампером</w:t>
            </w:r>
          </w:p>
          <w:p w14:paraId="1763D1DC"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Устаткування керування та індикації мовленнєвого оповіщування моноблочного типу  для систем пожежної сигналізації ВЕЛЛЕЗш-120-100 "Веллез"</w:t>
            </w:r>
          </w:p>
          <w:p w14:paraId="6B76AEE0"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Гучномовці настінні мовленнєвого оповіщування для систем пожежної сигналізації 3АС100ПН 3 Вт "Веллез"</w:t>
            </w:r>
          </w:p>
          <w:p w14:paraId="431FABEE"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Гучномовці настінні мовленнєвого оповіщування для систем пожежної сигналізації 6АС100ПН 6 Вт "Веллез"</w:t>
            </w:r>
          </w:p>
          <w:p w14:paraId="31139A4F"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Компоненти устаткування керування та індикації мовленнєвого оповіщування для систем пожежної сигналізації "Веллез"</w:t>
            </w:r>
          </w:p>
          <w:p w14:paraId="5813A22A"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Монтажний кабель ПСВВ 4х0,4</w:t>
            </w:r>
          </w:p>
          <w:p w14:paraId="0440FA75"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 xml:space="preserve">Монтажний кабель вогнестійкий JE-H(St) H…Bd FE 180/E30 1х2х0,8 </w:t>
            </w:r>
          </w:p>
          <w:p w14:paraId="4BD4FBC6"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 xml:space="preserve">Монтажний кабель вогнестійкий (N) HXH FE 180/E30 3х1.5 </w:t>
            </w:r>
          </w:p>
          <w:p w14:paraId="44CBA748"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Кабельний канал ККПС 18х11</w:t>
            </w:r>
          </w:p>
          <w:p w14:paraId="53DD5284"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Світильник аварійного освітлення</w:t>
            </w:r>
          </w:p>
          <w:p w14:paraId="6CB3783A"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Монтаж гучномовця настінного мовленнєвого оповіщування для систем пожежної сигналізації</w:t>
            </w:r>
          </w:p>
          <w:p w14:paraId="3C1846F3"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Прокладання коробів пластикових</w:t>
            </w:r>
          </w:p>
          <w:p w14:paraId="0A66B81D"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Монтаж сигнальних ліхтарів «ВИХІД»</w:t>
            </w:r>
          </w:p>
          <w:p w14:paraId="21B1F03A" w14:textId="77777777" w:rsidR="009505F7" w:rsidRPr="009505F7" w:rsidRDefault="009505F7" w:rsidP="009505F7">
            <w:pPr>
              <w:spacing w:after="0" w:line="240" w:lineRule="auto"/>
              <w:ind w:right="-2"/>
              <w:jc w:val="both"/>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Перевірка схем сигналізації</w:t>
            </w:r>
          </w:p>
        </w:tc>
        <w:tc>
          <w:tcPr>
            <w:tcW w:w="1134" w:type="dxa"/>
            <w:shd w:val="clear" w:color="auto" w:fill="auto"/>
          </w:tcPr>
          <w:p w14:paraId="4259A3AF" w14:textId="77777777" w:rsidR="009505F7" w:rsidRPr="009505F7" w:rsidRDefault="009505F7" w:rsidP="009505F7">
            <w:pPr>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03E93669"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24D918B6"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3795CB4B"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08A4D989"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373A15B7"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4A5FE91E"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5C7F035B"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0FB0A3A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06825512"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51065780"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7B5799AC"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6AAF42F5"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60A8AB5C"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41C2DA0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6B328D0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0D58A9D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1D77AF57"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138E4C1D"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550AAE27"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15C80229"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35079944"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7F8F8C48"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4105AA68" w14:textId="77777777" w:rsidR="009505F7" w:rsidRPr="009505F7" w:rsidRDefault="009505F7" w:rsidP="009505F7">
            <w:pPr>
              <w:spacing w:after="0" w:line="240" w:lineRule="auto"/>
              <w:ind w:right="-2"/>
              <w:rPr>
                <w:rFonts w:ascii="Times New Roman" w:eastAsia="Times New Roman" w:hAnsi="Times New Roman" w:cs="Times New Roman"/>
                <w:kern w:val="0"/>
                <w:sz w:val="24"/>
                <w:szCs w:val="24"/>
                <w:lang w:eastAsia="ru-RU"/>
              </w:rPr>
            </w:pPr>
          </w:p>
          <w:p w14:paraId="11672230" w14:textId="77777777" w:rsidR="009505F7" w:rsidRPr="009505F7" w:rsidRDefault="009505F7" w:rsidP="009505F7">
            <w:pPr>
              <w:spacing w:after="0" w:line="240" w:lineRule="auto"/>
              <w:ind w:right="-2"/>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 xml:space="preserve">    м/п</w:t>
            </w:r>
          </w:p>
          <w:p w14:paraId="3C974D1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м/п</w:t>
            </w:r>
          </w:p>
          <w:p w14:paraId="1374B03D"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м/п</w:t>
            </w:r>
          </w:p>
          <w:p w14:paraId="7E99E1EF" w14:textId="77777777" w:rsidR="009505F7" w:rsidRPr="009505F7" w:rsidRDefault="009505F7" w:rsidP="009505F7">
            <w:pPr>
              <w:spacing w:after="0" w:line="240" w:lineRule="auto"/>
              <w:ind w:right="-2"/>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 xml:space="preserve">    м/п</w:t>
            </w:r>
          </w:p>
          <w:p w14:paraId="707D7C7E"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191DD28E" w14:textId="77777777" w:rsidR="009505F7" w:rsidRPr="009505F7" w:rsidRDefault="009505F7" w:rsidP="009505F7">
            <w:pPr>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282350E7" w14:textId="77777777" w:rsidR="009505F7" w:rsidRPr="009505F7" w:rsidRDefault="009505F7" w:rsidP="009505F7">
            <w:pPr>
              <w:spacing w:after="0" w:line="240" w:lineRule="auto"/>
              <w:jc w:val="center"/>
              <w:rPr>
                <w:rFonts w:ascii="Times New Roman" w:eastAsia="Times New Roman" w:hAnsi="Times New Roman" w:cs="Times New Roman"/>
                <w:kern w:val="0"/>
                <w:sz w:val="24"/>
                <w:szCs w:val="24"/>
                <w:lang w:eastAsia="ru-RU"/>
              </w:rPr>
            </w:pPr>
          </w:p>
          <w:p w14:paraId="6DE3740C" w14:textId="77777777" w:rsidR="009505F7" w:rsidRPr="009505F7" w:rsidRDefault="009505F7" w:rsidP="009505F7">
            <w:pPr>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м/п</w:t>
            </w:r>
          </w:p>
          <w:p w14:paraId="49E7F129" w14:textId="77777777" w:rsidR="009505F7" w:rsidRPr="009505F7" w:rsidRDefault="009505F7" w:rsidP="009505F7">
            <w:pPr>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шт</w:t>
            </w:r>
          </w:p>
          <w:p w14:paraId="621B9506" w14:textId="77777777" w:rsidR="009505F7" w:rsidRPr="009505F7" w:rsidRDefault="009505F7" w:rsidP="009505F7">
            <w:pPr>
              <w:spacing w:after="0" w:line="240" w:lineRule="auto"/>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схема</w:t>
            </w:r>
          </w:p>
        </w:tc>
        <w:tc>
          <w:tcPr>
            <w:tcW w:w="1134" w:type="dxa"/>
            <w:shd w:val="clear" w:color="auto" w:fill="auto"/>
          </w:tcPr>
          <w:p w14:paraId="5730ECEE"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0AFE59EE"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5ACCAF6A"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797258EF"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3</w:t>
            </w:r>
          </w:p>
          <w:p w14:paraId="32CACA74"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28C580E9"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3BEF2A09"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612C685E"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284</w:t>
            </w:r>
          </w:p>
          <w:p w14:paraId="7FACDAD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3</w:t>
            </w:r>
          </w:p>
          <w:p w14:paraId="2553DA7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34</w:t>
            </w:r>
          </w:p>
          <w:p w14:paraId="1CF022C1"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437209B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28</w:t>
            </w:r>
          </w:p>
          <w:p w14:paraId="08EAEBBA"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3761EDED"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3</w:t>
            </w:r>
          </w:p>
          <w:p w14:paraId="42F16F25"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3</w:t>
            </w:r>
          </w:p>
          <w:p w14:paraId="4341B44F"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4AAF1AAF"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3A9F793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12F97A4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103</w:t>
            </w:r>
          </w:p>
          <w:p w14:paraId="07D422ED"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704C959E"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25</w:t>
            </w:r>
          </w:p>
          <w:p w14:paraId="4514BF17"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47F3B66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6BA8D66B"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4736BAA3"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1986</w:t>
            </w:r>
          </w:p>
          <w:p w14:paraId="19A2CB1F"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653</w:t>
            </w:r>
          </w:p>
          <w:p w14:paraId="155717D1"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14</w:t>
            </w:r>
          </w:p>
          <w:p w14:paraId="49395F34"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828</w:t>
            </w:r>
          </w:p>
          <w:p w14:paraId="39062329"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p w14:paraId="3B7FAA7F"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128</w:t>
            </w:r>
          </w:p>
          <w:p w14:paraId="2BBC925F"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p>
          <w:p w14:paraId="7C47FDE1"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828</w:t>
            </w:r>
          </w:p>
          <w:p w14:paraId="70E3A9DB"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28</w:t>
            </w:r>
          </w:p>
          <w:p w14:paraId="68F81FFB" w14:textId="77777777" w:rsidR="009505F7" w:rsidRPr="009505F7" w:rsidRDefault="009505F7" w:rsidP="009505F7">
            <w:pPr>
              <w:spacing w:after="0" w:line="240" w:lineRule="auto"/>
              <w:ind w:right="-2"/>
              <w:jc w:val="center"/>
              <w:rPr>
                <w:rFonts w:ascii="Times New Roman" w:eastAsia="Times New Roman" w:hAnsi="Times New Roman" w:cs="Times New Roman"/>
                <w:kern w:val="0"/>
                <w:sz w:val="24"/>
                <w:szCs w:val="24"/>
                <w:lang w:eastAsia="ru-RU"/>
              </w:rPr>
            </w:pPr>
            <w:r w:rsidRPr="009505F7">
              <w:rPr>
                <w:rFonts w:ascii="Times New Roman" w:eastAsia="Times New Roman" w:hAnsi="Times New Roman" w:cs="Times New Roman"/>
                <w:kern w:val="0"/>
                <w:sz w:val="24"/>
                <w:szCs w:val="24"/>
                <w:lang w:eastAsia="ru-RU"/>
              </w:rPr>
              <w:t>1</w:t>
            </w:r>
          </w:p>
        </w:tc>
        <w:tc>
          <w:tcPr>
            <w:tcW w:w="993" w:type="dxa"/>
            <w:shd w:val="clear" w:color="auto" w:fill="auto"/>
          </w:tcPr>
          <w:p w14:paraId="11EFCFE8" w14:textId="77777777" w:rsidR="009505F7" w:rsidRPr="009505F7" w:rsidRDefault="009505F7" w:rsidP="009505F7">
            <w:pPr>
              <w:spacing w:after="0" w:line="240" w:lineRule="auto"/>
              <w:ind w:right="-2"/>
              <w:jc w:val="both"/>
              <w:rPr>
                <w:rFonts w:ascii="Times New Roman" w:eastAsia="Times New Roman" w:hAnsi="Times New Roman" w:cs="Times New Roman"/>
                <w:b/>
                <w:kern w:val="0"/>
                <w:sz w:val="24"/>
                <w:szCs w:val="24"/>
                <w:lang w:eastAsia="ru-RU"/>
              </w:rPr>
            </w:pPr>
          </w:p>
        </w:tc>
      </w:tr>
    </w:tbl>
    <w:p w14:paraId="572E08ED" w14:textId="7706D3C3" w:rsidR="009505F7" w:rsidRPr="009505F7" w:rsidRDefault="009505F7" w:rsidP="009505F7">
      <w:pPr>
        <w:spacing w:after="0" w:line="240" w:lineRule="auto"/>
        <w:ind w:firstLine="709"/>
        <w:jc w:val="both"/>
        <w:rPr>
          <w:rFonts w:ascii="Times New Roman" w:eastAsia="Times New Roman" w:hAnsi="Times New Roman" w:cs="Times New Roman"/>
          <w:color w:val="FF0000"/>
          <w:kern w:val="0"/>
          <w:sz w:val="24"/>
          <w:szCs w:val="24"/>
          <w:lang w:eastAsia="uk-UA"/>
        </w:rPr>
      </w:pPr>
      <w:r w:rsidRPr="009505F7">
        <w:rPr>
          <w:rFonts w:ascii="Times New Roman" w:eastAsia="Times New Roman" w:hAnsi="Times New Roman" w:cs="Times New Roman"/>
          <w:b/>
          <w:kern w:val="0"/>
          <w:sz w:val="24"/>
          <w:szCs w:val="24"/>
          <w:lang w:eastAsia="uk-UA"/>
        </w:rPr>
        <w:lastRenderedPageBreak/>
        <w:t xml:space="preserve">Учаснику </w:t>
      </w:r>
      <w:r w:rsidRPr="009505F7">
        <w:rPr>
          <w:rFonts w:ascii="Times New Roman" w:eastAsia="Times New Roman" w:hAnsi="Times New Roman" w:cs="Times New Roman"/>
          <w:kern w:val="0"/>
          <w:sz w:val="24"/>
          <w:szCs w:val="24"/>
          <w:lang w:eastAsia="uk-UA"/>
        </w:rPr>
        <w:t>пропонується здійснити попереднє обстеження об’єкта</w:t>
      </w:r>
      <w:r w:rsidRPr="009505F7">
        <w:rPr>
          <w:rFonts w:ascii="Times New Roman" w:eastAsia="Times New Roman" w:hAnsi="Times New Roman" w:cs="Times New Roman"/>
          <w:b/>
          <w:kern w:val="0"/>
          <w:sz w:val="24"/>
          <w:szCs w:val="24"/>
          <w:lang w:eastAsia="uk-UA"/>
        </w:rPr>
        <w:t xml:space="preserve"> Замовника, </w:t>
      </w:r>
      <w:r w:rsidRPr="009505F7">
        <w:rPr>
          <w:rFonts w:ascii="Times New Roman" w:eastAsia="Times New Roman" w:hAnsi="Times New Roman" w:cs="Times New Roman"/>
          <w:kern w:val="0"/>
          <w:sz w:val="24"/>
          <w:szCs w:val="24"/>
          <w:lang w:eastAsia="uk-UA"/>
        </w:rPr>
        <w:t>де будуть виконуватися  роботи, для ознайомлення з проєктною документацією та визначення детального обсягу робіт при складанні кошторисної документації відповідно до технічного завдання.</w:t>
      </w:r>
      <w:r w:rsidRPr="009505F7">
        <w:rPr>
          <w:rFonts w:ascii="Times New Roman" w:eastAsia="Times New Roman" w:hAnsi="Times New Roman" w:cs="Times New Roman"/>
          <w:color w:val="FF0000"/>
          <w:kern w:val="0"/>
          <w:sz w:val="24"/>
          <w:szCs w:val="24"/>
          <w:lang w:eastAsia="uk-UA"/>
        </w:rPr>
        <w:t xml:space="preserve"> </w:t>
      </w:r>
    </w:p>
    <w:p w14:paraId="1C193F58" w14:textId="77777777" w:rsidR="009505F7" w:rsidRPr="009505F7" w:rsidRDefault="009505F7" w:rsidP="009505F7">
      <w:pPr>
        <w:spacing w:after="0" w:line="240" w:lineRule="auto"/>
        <w:ind w:right="-2" w:firstLine="567"/>
        <w:jc w:val="both"/>
        <w:rPr>
          <w:rFonts w:ascii="Times New Roman" w:eastAsia="Times New Roman" w:hAnsi="Times New Roman" w:cs="Times New Roman"/>
          <w:b/>
          <w:bCs/>
          <w:kern w:val="0"/>
          <w:sz w:val="24"/>
          <w:szCs w:val="24"/>
          <w:lang w:eastAsia="uk-UA"/>
        </w:rPr>
      </w:pPr>
      <w:r w:rsidRPr="009505F7">
        <w:rPr>
          <w:rFonts w:ascii="Times New Roman" w:eastAsia="Times New Roman" w:hAnsi="Times New Roman" w:cs="Times New Roman"/>
          <w:kern w:val="0"/>
          <w:sz w:val="24"/>
          <w:szCs w:val="24"/>
          <w:lang w:eastAsia="uk-UA"/>
        </w:rPr>
        <w:t xml:space="preserve">Учасник має ліцензію на проведення робіт, виконує роботи відповідно до кошторисної документації, будівельних норм та правил, із застосуванням виробів та матеріалів, що відповідають державним стандартам України. </w:t>
      </w:r>
      <w:r w:rsidRPr="009505F7">
        <w:rPr>
          <w:rFonts w:ascii="Times New Roman" w:eastAsia="Times New Roman" w:hAnsi="Times New Roman" w:cs="Times New Roman"/>
          <w:b/>
          <w:bCs/>
          <w:kern w:val="0"/>
          <w:sz w:val="24"/>
          <w:szCs w:val="24"/>
          <w:lang w:eastAsia="uk-UA"/>
        </w:rPr>
        <w:t xml:space="preserve">Термін виконання робіт до 1 серпня 2024 року. </w:t>
      </w:r>
    </w:p>
    <w:p w14:paraId="0F9FE53E" w14:textId="77777777" w:rsidR="009505F7" w:rsidRPr="009505F7" w:rsidRDefault="009505F7" w:rsidP="009505F7">
      <w:pPr>
        <w:spacing w:after="0" w:line="240" w:lineRule="auto"/>
        <w:ind w:firstLine="567"/>
        <w:contextualSpacing/>
        <w:jc w:val="both"/>
        <w:rPr>
          <w:rFonts w:ascii="Times New Roman" w:eastAsia="Calibri" w:hAnsi="Times New Roman" w:cs="Times New Roman"/>
          <w:i/>
          <w:kern w:val="0"/>
          <w:sz w:val="24"/>
          <w:szCs w:val="24"/>
        </w:rPr>
      </w:pPr>
      <w:r w:rsidRPr="009505F7">
        <w:rPr>
          <w:rFonts w:ascii="Times New Roman" w:eastAsia="Calibri" w:hAnsi="Times New Roman" w:cs="Times New Roman"/>
          <w:bCs/>
          <w:kern w:val="0"/>
          <w:sz w:val="24"/>
          <w:szCs w:val="24"/>
        </w:rPr>
        <w:t>Переможець</w:t>
      </w:r>
      <w:r w:rsidRPr="009505F7">
        <w:rPr>
          <w:rFonts w:ascii="Times New Roman" w:eastAsia="Calibri" w:hAnsi="Times New Roman" w:cs="Times New Roman"/>
          <w:kern w:val="0"/>
          <w:sz w:val="24"/>
          <w:szCs w:val="24"/>
        </w:rPr>
        <w:t xml:space="preserve"> протягом п’яти календарних днів з дати визначення його переможцем надає </w:t>
      </w:r>
      <w:r w:rsidRPr="009505F7">
        <w:rPr>
          <w:rFonts w:ascii="Times New Roman" w:eastAsia="Calibri" w:hAnsi="Times New Roman" w:cs="Times New Roman"/>
          <w:bCs/>
          <w:kern w:val="0"/>
          <w:sz w:val="24"/>
          <w:szCs w:val="24"/>
        </w:rPr>
        <w:t>Замовнику</w:t>
      </w:r>
      <w:r w:rsidRPr="009505F7">
        <w:rPr>
          <w:rFonts w:ascii="Times New Roman" w:eastAsia="Calibri" w:hAnsi="Times New Roman" w:cs="Times New Roman"/>
          <w:kern w:val="0"/>
          <w:sz w:val="24"/>
          <w:szCs w:val="24"/>
        </w:rPr>
        <w:t xml:space="preserve"> на перевірку інформаційну модель договірної ціни </w:t>
      </w:r>
      <w:r w:rsidRPr="009505F7">
        <w:rPr>
          <w:rFonts w:ascii="Times New Roman" w:eastAsia="Calibri" w:hAnsi="Times New Roman" w:cs="Times New Roman"/>
          <w:bCs/>
          <w:kern w:val="0"/>
          <w:sz w:val="24"/>
          <w:szCs w:val="24"/>
        </w:rPr>
        <w:t>(</w:t>
      </w:r>
      <w:r w:rsidRPr="009505F7">
        <w:rPr>
          <w:rFonts w:ascii="Times New Roman" w:eastAsia="Calibri" w:hAnsi="Times New Roman" w:cs="Times New Roman"/>
          <w:bCs/>
          <w:kern w:val="0"/>
          <w:sz w:val="24"/>
          <w:szCs w:val="24"/>
          <w:lang w:val="ru-RU"/>
        </w:rPr>
        <w:t>IMD</w:t>
      </w:r>
      <w:r w:rsidRPr="009505F7">
        <w:rPr>
          <w:rFonts w:ascii="Times New Roman" w:eastAsia="Calibri" w:hAnsi="Times New Roman" w:cs="Times New Roman"/>
          <w:bCs/>
          <w:kern w:val="0"/>
          <w:sz w:val="24"/>
          <w:szCs w:val="24"/>
        </w:rPr>
        <w:t>)</w:t>
      </w:r>
      <w:r w:rsidRPr="009505F7">
        <w:rPr>
          <w:rFonts w:ascii="Times New Roman" w:eastAsia="Calibri" w:hAnsi="Times New Roman" w:cs="Times New Roman"/>
          <w:kern w:val="0"/>
          <w:sz w:val="24"/>
          <w:szCs w:val="24"/>
        </w:rPr>
        <w:t xml:space="preserve"> в програмному комплексі </w:t>
      </w:r>
      <w:r w:rsidRPr="009505F7">
        <w:rPr>
          <w:rFonts w:ascii="Times New Roman" w:eastAsia="Calibri" w:hAnsi="Times New Roman" w:cs="Times New Roman"/>
          <w:bCs/>
          <w:kern w:val="0"/>
          <w:sz w:val="24"/>
          <w:szCs w:val="24"/>
        </w:rPr>
        <w:t>АВК-5</w:t>
      </w:r>
      <w:r w:rsidRPr="009505F7">
        <w:rPr>
          <w:rFonts w:ascii="Times New Roman" w:eastAsia="Calibri" w:hAnsi="Times New Roman" w:cs="Times New Roman"/>
          <w:kern w:val="0"/>
          <w:sz w:val="24"/>
          <w:szCs w:val="24"/>
        </w:rPr>
        <w:t xml:space="preserve">, складену згідно обґрунтованих розрахунків Учасника на підставі Державних будівельних стандартів і правил, що стане підставою визначення ціни договору, але в розмірі, що не перевищує усереднені показники рекомендовані Мінрегіонбудом та нормативно-правовими актами  органів місцевого самоврядування </w:t>
      </w:r>
      <w:r w:rsidRPr="009505F7">
        <w:rPr>
          <w:rFonts w:ascii="Times New Roman" w:eastAsia="Calibri" w:hAnsi="Times New Roman" w:cs="Times New Roman"/>
          <w:i/>
          <w:kern w:val="0"/>
          <w:sz w:val="24"/>
          <w:szCs w:val="24"/>
        </w:rPr>
        <w:t>(в поточних цінах на дату укладання договору з урахуванням усереднених цін на будівельні матеріали, з урахуванням рівня заробітної плати у розмірі 10464,0 грн., норма тривалості робочого часу 170,25 люд./год., що відповідає середньому тарифному розряду робіт у будівництві – 3,8).</w:t>
      </w:r>
    </w:p>
    <w:p w14:paraId="042A3FF0" w14:textId="77777777" w:rsidR="009505F7" w:rsidRPr="009505F7" w:rsidRDefault="009505F7" w:rsidP="009505F7">
      <w:pPr>
        <w:spacing w:after="0" w:line="240" w:lineRule="auto"/>
        <w:ind w:right="-6"/>
        <w:jc w:val="both"/>
        <w:rPr>
          <w:rFonts w:ascii="Times New Roman" w:eastAsia="Times New Roman" w:hAnsi="Times New Roman" w:cs="Times New Roman"/>
          <w:bCs/>
          <w:kern w:val="0"/>
          <w:sz w:val="24"/>
          <w:szCs w:val="24"/>
          <w:lang w:eastAsia="uk-UA"/>
        </w:rPr>
      </w:pPr>
      <w:r w:rsidRPr="009505F7">
        <w:rPr>
          <w:rFonts w:ascii="Times New Roman" w:eastAsia="Times New Roman" w:hAnsi="Times New Roman" w:cs="Times New Roman"/>
          <w:kern w:val="0"/>
          <w:sz w:val="24"/>
          <w:szCs w:val="24"/>
          <w:lang w:eastAsia="uk-UA"/>
        </w:rPr>
        <w:t xml:space="preserve">      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Pr="009505F7">
        <w:rPr>
          <w:rFonts w:ascii="Times New Roman" w:eastAsia="Times New Roman" w:hAnsi="Times New Roman" w:cs="Times New Roman"/>
          <w:bCs/>
          <w:kern w:val="0"/>
          <w:sz w:val="24"/>
          <w:szCs w:val="24"/>
          <w:lang w:eastAsia="uk-UA"/>
        </w:rPr>
        <w:t>(IMD)</w:t>
      </w:r>
      <w:r w:rsidRPr="009505F7">
        <w:rPr>
          <w:rFonts w:ascii="Times New Roman" w:eastAsia="Times New Roman" w:hAnsi="Times New Roman" w:cs="Times New Roman"/>
          <w:kern w:val="0"/>
          <w:sz w:val="24"/>
          <w:szCs w:val="24"/>
          <w:lang w:eastAsia="uk-UA"/>
        </w:rPr>
        <w:t xml:space="preserve"> в програмному комплексі </w:t>
      </w:r>
      <w:r w:rsidRPr="009505F7">
        <w:rPr>
          <w:rFonts w:ascii="Times New Roman" w:eastAsia="Times New Roman" w:hAnsi="Times New Roman" w:cs="Times New Roman"/>
          <w:bCs/>
          <w:kern w:val="0"/>
          <w:sz w:val="24"/>
          <w:szCs w:val="24"/>
          <w:lang w:eastAsia="uk-UA"/>
        </w:rPr>
        <w:t>АВК-5, розцінюється Замовником як відмова від підписання договору.</w:t>
      </w:r>
    </w:p>
    <w:p w14:paraId="63E38771" w14:textId="77777777" w:rsidR="009505F7" w:rsidRPr="009505F7" w:rsidRDefault="009505F7" w:rsidP="009505F7">
      <w:pPr>
        <w:spacing w:after="0" w:line="252" w:lineRule="auto"/>
        <w:ind w:right="-5"/>
        <w:jc w:val="both"/>
        <w:rPr>
          <w:rFonts w:ascii="Times New Roman" w:eastAsia="Times New Roman" w:hAnsi="Times New Roman" w:cs="Times New Roman"/>
          <w:kern w:val="0"/>
          <w:sz w:val="24"/>
          <w:szCs w:val="24"/>
          <w:lang w:eastAsia="uk-UA"/>
        </w:rPr>
      </w:pPr>
      <w:r w:rsidRPr="009505F7">
        <w:rPr>
          <w:rFonts w:ascii="Times New Roman" w:eastAsia="Times New Roman" w:hAnsi="Times New Roman" w:cs="Times New Roman"/>
          <w:kern w:val="0"/>
          <w:sz w:val="24"/>
          <w:szCs w:val="24"/>
          <w:lang w:eastAsia="uk-UA"/>
        </w:rPr>
        <w:t xml:space="preserve">      Інформаційна модель договірної ціни </w:t>
      </w:r>
      <w:r w:rsidRPr="009505F7">
        <w:rPr>
          <w:rFonts w:ascii="Times New Roman" w:eastAsia="Times New Roman" w:hAnsi="Times New Roman" w:cs="Times New Roman"/>
          <w:bCs/>
          <w:kern w:val="0"/>
          <w:sz w:val="24"/>
          <w:szCs w:val="24"/>
          <w:lang w:eastAsia="uk-UA"/>
        </w:rPr>
        <w:t>(IMD)</w:t>
      </w:r>
      <w:r w:rsidRPr="009505F7">
        <w:rPr>
          <w:rFonts w:ascii="Times New Roman" w:eastAsia="Times New Roman" w:hAnsi="Times New Roman" w:cs="Times New Roman"/>
          <w:kern w:val="0"/>
          <w:sz w:val="24"/>
          <w:szCs w:val="24"/>
          <w:lang w:eastAsia="uk-UA"/>
        </w:rPr>
        <w:t xml:space="preserve"> в програмному комплексі </w:t>
      </w:r>
      <w:r w:rsidRPr="009505F7">
        <w:rPr>
          <w:rFonts w:ascii="Times New Roman" w:eastAsia="Times New Roman" w:hAnsi="Times New Roman" w:cs="Times New Roman"/>
          <w:bCs/>
          <w:kern w:val="0"/>
          <w:sz w:val="24"/>
          <w:szCs w:val="24"/>
          <w:lang w:eastAsia="uk-UA"/>
        </w:rPr>
        <w:t>АВК-5 подається на електронну адресу Замовника.</w:t>
      </w:r>
    </w:p>
    <w:p w14:paraId="59734DB1" w14:textId="77777777" w:rsidR="009505F7" w:rsidRPr="009505F7" w:rsidRDefault="009505F7" w:rsidP="00277530">
      <w:pPr>
        <w:pStyle w:val="NormalWeb"/>
        <w:spacing w:before="0" w:beforeAutospacing="0" w:after="0" w:afterAutospacing="0"/>
        <w:jc w:val="both"/>
        <w:rPr>
          <w:bCs/>
          <w:spacing w:val="-3"/>
        </w:rPr>
      </w:pPr>
    </w:p>
    <w:sectPr w:rsidR="009505F7" w:rsidRPr="009505F7" w:rsidSect="00B4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1D84"/>
    <w:multiLevelType w:val="multilevel"/>
    <w:tmpl w:val="26D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1060E"/>
    <w:multiLevelType w:val="hybridMultilevel"/>
    <w:tmpl w:val="5E8A5738"/>
    <w:lvl w:ilvl="0" w:tplc="D234C4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4530154"/>
    <w:multiLevelType w:val="hybridMultilevel"/>
    <w:tmpl w:val="4326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4967144">
    <w:abstractNumId w:val="0"/>
  </w:num>
  <w:num w:numId="2" w16cid:durableId="1928149013">
    <w:abstractNumId w:val="2"/>
  </w:num>
  <w:num w:numId="3" w16cid:durableId="202979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30"/>
    <w:rsid w:val="00042010"/>
    <w:rsid w:val="000B4F7D"/>
    <w:rsid w:val="001D2D5B"/>
    <w:rsid w:val="00277530"/>
    <w:rsid w:val="00383805"/>
    <w:rsid w:val="00702B4E"/>
    <w:rsid w:val="0082624C"/>
    <w:rsid w:val="0084029D"/>
    <w:rsid w:val="009505F7"/>
    <w:rsid w:val="00AC1297"/>
    <w:rsid w:val="00AE6FB9"/>
    <w:rsid w:val="00B41446"/>
    <w:rsid w:val="00CE1593"/>
    <w:rsid w:val="00D461FE"/>
    <w:rsid w:val="00E857F9"/>
    <w:rsid w:val="00EA3F0E"/>
    <w:rsid w:val="00F1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E8A42"/>
  <w15:docId w15:val="{C60E89A9-C5F9-4FD2-9BDA-D54FD010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30"/>
    <w:pPr>
      <w:spacing w:after="160" w:line="256" w:lineRule="auto"/>
    </w:pPr>
    <w:rPr>
      <w:kern w:val="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530"/>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5999</Characters>
  <Application>Microsoft Office Word</Application>
  <DocSecurity>0</DocSecurity>
  <Lines>249</Lines>
  <Paragraphs>173</Paragraphs>
  <ScaleCrop>false</ScaleCrop>
  <Company>Reanimator Extreme Edition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5081902</dc:creator>
  <cp:lastModifiedBy>Катерина Антюшко</cp:lastModifiedBy>
  <cp:revision>8</cp:revision>
  <dcterms:created xsi:type="dcterms:W3CDTF">2024-02-26T08:20:00Z</dcterms:created>
  <dcterms:modified xsi:type="dcterms:W3CDTF">2024-04-15T10:38:00Z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b5e80d8d426a0de9b0e3cec6dbd83f43f651b7f86dcfee2a7b55c9b1ca08e944</vt:lpwstr>
  </property>
</Properties>
</file>