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ordWrap w:val="0"/>
        <w:spacing w:before="0" w:beforeAutospacing="0" w:after="0" w:afterAutospacing="0"/>
        <w:jc w:val="right"/>
        <w:rPr>
          <w:rFonts w:hint="default"/>
          <w:color w:val="000000"/>
          <w:sz w:val="27"/>
          <w:szCs w:val="27"/>
          <w:lang w:val="uk-UA"/>
        </w:rPr>
      </w:pPr>
      <w:r>
        <w:rPr>
          <w:b/>
          <w:sz w:val="32"/>
          <w:szCs w:val="32"/>
          <w:lang w:val="uk-UA"/>
        </w:rPr>
        <w:t>Красилівська</w:t>
      </w:r>
      <w:r>
        <w:rPr>
          <w:rFonts w:hint="default"/>
          <w:b/>
          <w:sz w:val="32"/>
          <w:szCs w:val="32"/>
          <w:lang w:val="uk-UA"/>
        </w:rPr>
        <w:t xml:space="preserve"> житлово-експлуатаційна контора              </w:t>
      </w:r>
    </w:p>
    <w:p>
      <w:pPr>
        <w:pStyle w:val="17"/>
        <w:spacing w:before="0" w:beforeAutospacing="0" w:after="0" w:afterAutospacing="0"/>
        <w:jc w:val="right"/>
        <w:rPr>
          <w:color w:val="000000"/>
          <w:sz w:val="27"/>
          <w:szCs w:val="27"/>
          <w:lang w:val="uk-UA"/>
        </w:rPr>
      </w:pPr>
    </w:p>
    <w:p>
      <w:pPr>
        <w:pStyle w:val="17"/>
        <w:spacing w:before="0" w:beforeAutospacing="0" w:after="0" w:afterAutospacing="0"/>
        <w:jc w:val="right"/>
        <w:rPr>
          <w:color w:val="000000"/>
          <w:sz w:val="27"/>
          <w:szCs w:val="27"/>
          <w:lang w:val="uk-UA"/>
        </w:rPr>
      </w:pPr>
    </w:p>
    <w:p>
      <w:pPr>
        <w:pStyle w:val="17"/>
        <w:spacing w:before="0" w:beforeAutospacing="0" w:after="0" w:afterAutospacing="0"/>
        <w:jc w:val="right"/>
        <w:rPr>
          <w:color w:val="000000"/>
          <w:sz w:val="27"/>
          <w:szCs w:val="27"/>
          <w:lang w:val="uk-UA"/>
        </w:rPr>
      </w:pPr>
    </w:p>
    <w:p>
      <w:pPr>
        <w:pStyle w:val="17"/>
        <w:spacing w:before="0" w:beforeAutospacing="0" w:after="0" w:afterAutospacing="0"/>
        <w:jc w:val="right"/>
        <w:rPr>
          <w:color w:val="000000"/>
          <w:sz w:val="27"/>
          <w:szCs w:val="27"/>
        </w:rPr>
      </w:pPr>
      <w:r>
        <w:rPr>
          <w:color w:val="000000"/>
          <w:sz w:val="27"/>
          <w:szCs w:val="27"/>
        </w:rPr>
        <w:t>«ЗАТВЕРДЖЕНО»</w:t>
      </w:r>
    </w:p>
    <w:p>
      <w:pPr>
        <w:pStyle w:val="17"/>
        <w:spacing w:before="0" w:beforeAutospacing="0" w:after="0" w:afterAutospacing="0"/>
        <w:jc w:val="right"/>
        <w:rPr>
          <w:color w:val="000000"/>
          <w:sz w:val="27"/>
          <w:szCs w:val="27"/>
        </w:rPr>
      </w:pPr>
      <w:r>
        <w:rPr>
          <w:color w:val="000000"/>
          <w:sz w:val="27"/>
          <w:szCs w:val="27"/>
        </w:rPr>
        <w:t>Протоколом уповноваженої особи</w:t>
      </w:r>
    </w:p>
    <w:p>
      <w:pPr>
        <w:pStyle w:val="17"/>
        <w:spacing w:before="0" w:beforeAutospacing="0" w:after="0" w:afterAutospacing="0"/>
        <w:jc w:val="right"/>
        <w:rPr>
          <w:rFonts w:hint="default"/>
          <w:color w:val="000000"/>
          <w:sz w:val="27"/>
          <w:szCs w:val="27"/>
          <w:lang w:val="uk-UA"/>
        </w:rPr>
      </w:pPr>
      <w:r>
        <w:rPr>
          <w:color w:val="000000"/>
          <w:sz w:val="27"/>
          <w:szCs w:val="27"/>
        </w:rPr>
        <w:t>від «</w:t>
      </w:r>
      <w:r>
        <w:rPr>
          <w:rFonts w:hint="default"/>
          <w:color w:val="000000"/>
          <w:sz w:val="27"/>
          <w:szCs w:val="27"/>
          <w:lang w:val="uk-UA"/>
        </w:rPr>
        <w:t>18</w:t>
      </w:r>
      <w:r>
        <w:rPr>
          <w:color w:val="000000"/>
          <w:sz w:val="27"/>
          <w:szCs w:val="27"/>
        </w:rPr>
        <w:t xml:space="preserve">»  </w:t>
      </w:r>
      <w:r>
        <w:rPr>
          <w:color w:val="000000"/>
          <w:sz w:val="27"/>
          <w:szCs w:val="27"/>
          <w:lang w:val="uk-UA"/>
        </w:rPr>
        <w:t>травня</w:t>
      </w:r>
      <w:r>
        <w:rPr>
          <w:color w:val="000000"/>
          <w:sz w:val="27"/>
          <w:szCs w:val="27"/>
        </w:rPr>
        <w:t xml:space="preserve">  202</w:t>
      </w:r>
      <w:r>
        <w:rPr>
          <w:color w:val="000000"/>
          <w:sz w:val="27"/>
          <w:szCs w:val="27"/>
          <w:lang w:val="uk-UA"/>
        </w:rPr>
        <w:t>3</w:t>
      </w:r>
      <w:r>
        <w:rPr>
          <w:color w:val="000000"/>
          <w:sz w:val="27"/>
          <w:szCs w:val="27"/>
        </w:rPr>
        <w:t xml:space="preserve"> р. № </w:t>
      </w:r>
      <w:r>
        <w:rPr>
          <w:rFonts w:hint="default"/>
          <w:color w:val="000000"/>
          <w:sz w:val="27"/>
          <w:szCs w:val="27"/>
          <w:lang w:val="uk-UA"/>
        </w:rPr>
        <w:t>28</w:t>
      </w:r>
    </w:p>
    <w:p>
      <w:pPr>
        <w:spacing w:after="0" w:line="240" w:lineRule="auto"/>
        <w:ind w:firstLine="708"/>
        <w:jc w:val="center"/>
        <w:rPr>
          <w:b/>
          <w:sz w:val="32"/>
          <w:szCs w:val="32"/>
          <w:lang w:val="ru-RU"/>
        </w:rPr>
      </w:pPr>
    </w:p>
    <w:p/>
    <w:tbl>
      <w:tblPr>
        <w:tblStyle w:val="6"/>
        <w:tblW w:w="934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98" w:type="dxa"/>
            <w:tcBorders>
              <w:top w:val="nil"/>
              <w:left w:val="nil"/>
              <w:bottom w:val="nil"/>
              <w:right w:val="nil"/>
            </w:tcBorders>
          </w:tcPr>
          <w:p>
            <w:pPr>
              <w:spacing w:after="0" w:line="240" w:lineRule="auto"/>
              <w:jc w:val="right"/>
              <w:rPr>
                <w:b/>
                <w:szCs w:val="28"/>
              </w:rPr>
            </w:pPr>
          </w:p>
        </w:tc>
        <w:tc>
          <w:tcPr>
            <w:tcW w:w="5747" w:type="dxa"/>
            <w:tcBorders>
              <w:top w:val="nil"/>
              <w:left w:val="nil"/>
              <w:bottom w:val="nil"/>
              <w:right w:val="nil"/>
            </w:tcBorders>
          </w:tcPr>
          <w:p>
            <w:pPr>
              <w:spacing w:after="0" w:line="240" w:lineRule="auto"/>
              <w:jc w:val="right"/>
              <w:rPr>
                <w:b/>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8" w:type="dxa"/>
            <w:tcBorders>
              <w:top w:val="nil"/>
              <w:left w:val="nil"/>
              <w:bottom w:val="nil"/>
              <w:right w:val="nil"/>
            </w:tcBorders>
          </w:tcPr>
          <w:p>
            <w:pPr>
              <w:spacing w:after="0" w:line="240" w:lineRule="auto"/>
              <w:jc w:val="right"/>
              <w:rPr>
                <w:b/>
                <w:szCs w:val="28"/>
              </w:rPr>
            </w:pPr>
          </w:p>
        </w:tc>
        <w:tc>
          <w:tcPr>
            <w:tcW w:w="5747" w:type="dxa"/>
            <w:tcBorders>
              <w:top w:val="nil"/>
              <w:left w:val="nil"/>
              <w:bottom w:val="nil"/>
              <w:right w:val="nil"/>
            </w:tcBorders>
          </w:tcPr>
          <w:p>
            <w:pPr>
              <w:spacing w:after="0" w:line="240" w:lineRule="auto"/>
              <w:jc w:val="right"/>
              <w:outlineLvl w:val="1"/>
              <w:rPr>
                <w:b/>
                <w:bCs/>
                <w:i/>
                <w:i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98" w:type="dxa"/>
            <w:tcBorders>
              <w:top w:val="nil"/>
              <w:left w:val="nil"/>
              <w:bottom w:val="nil"/>
              <w:right w:val="nil"/>
            </w:tcBorders>
          </w:tcPr>
          <w:p>
            <w:pPr>
              <w:spacing w:after="0" w:line="240" w:lineRule="auto"/>
              <w:jc w:val="right"/>
              <w:rPr>
                <w:b/>
                <w:szCs w:val="28"/>
              </w:rPr>
            </w:pPr>
          </w:p>
        </w:tc>
        <w:tc>
          <w:tcPr>
            <w:tcW w:w="5747" w:type="dxa"/>
            <w:tcBorders>
              <w:top w:val="nil"/>
              <w:left w:val="nil"/>
              <w:bottom w:val="nil"/>
              <w:right w:val="nil"/>
            </w:tcBorders>
            <w:vAlign w:val="center"/>
          </w:tcPr>
          <w:p>
            <w:pPr>
              <w:keepLines/>
              <w:spacing w:after="0" w:line="240" w:lineRule="auto"/>
              <w:jc w:val="right"/>
              <w:outlineLvl w:val="0"/>
              <w:rPr>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98" w:type="dxa"/>
            <w:tcBorders>
              <w:top w:val="nil"/>
              <w:left w:val="nil"/>
              <w:bottom w:val="nil"/>
              <w:right w:val="nil"/>
            </w:tcBorders>
          </w:tcPr>
          <w:p>
            <w:pPr>
              <w:spacing w:after="0" w:line="240" w:lineRule="auto"/>
              <w:jc w:val="right"/>
              <w:rPr>
                <w:b/>
                <w:szCs w:val="28"/>
              </w:rPr>
            </w:pPr>
          </w:p>
          <w:p>
            <w:pPr>
              <w:spacing w:after="0" w:line="240" w:lineRule="auto"/>
              <w:jc w:val="right"/>
              <w:rPr>
                <w:b/>
                <w:szCs w:val="28"/>
              </w:rPr>
            </w:pPr>
          </w:p>
        </w:tc>
        <w:tc>
          <w:tcPr>
            <w:tcW w:w="5747" w:type="dxa"/>
            <w:tcBorders>
              <w:top w:val="nil"/>
              <w:left w:val="nil"/>
              <w:bottom w:val="nil"/>
              <w:right w:val="nil"/>
            </w:tcBorders>
            <w:vAlign w:val="center"/>
          </w:tcPr>
          <w:p>
            <w:pPr>
              <w:keepLines/>
              <w:spacing w:after="0" w:line="240" w:lineRule="auto"/>
              <w:jc w:val="right"/>
              <w:outlineLvl w:val="0"/>
              <w:rPr>
                <w:b/>
                <w:bCs/>
                <w:szCs w:val="28"/>
                <w:lang w:val="ru-RU"/>
              </w:rPr>
            </w:pPr>
          </w:p>
        </w:tc>
      </w:tr>
    </w:tbl>
    <w:p>
      <w:pPr>
        <w:spacing w:after="0" w:line="240" w:lineRule="auto"/>
        <w:jc w:val="center"/>
        <w:rPr>
          <w:b/>
          <w:szCs w:val="28"/>
          <w:lang w:eastAsia="ru-RU"/>
        </w:rPr>
      </w:pPr>
    </w:p>
    <w:tbl>
      <w:tblPr>
        <w:tblStyle w:val="6"/>
        <w:tblW w:w="9840" w:type="dxa"/>
        <w:tblInd w:w="0" w:type="dxa"/>
        <w:tblLayout w:type="fixed"/>
        <w:tblCellMar>
          <w:top w:w="0" w:type="dxa"/>
          <w:left w:w="108" w:type="dxa"/>
          <w:bottom w:w="0" w:type="dxa"/>
          <w:right w:w="108" w:type="dxa"/>
        </w:tblCellMar>
      </w:tblPr>
      <w:tblGrid>
        <w:gridCol w:w="9840"/>
      </w:tblGrid>
      <w:tr>
        <w:tc>
          <w:tcPr>
            <w:tcW w:w="9847" w:type="dxa"/>
            <w:shd w:val="clear" w:color="auto" w:fill="C0C0C0"/>
          </w:tcPr>
          <w:p>
            <w:pPr>
              <w:spacing w:after="0" w:line="240" w:lineRule="auto"/>
              <w:jc w:val="center"/>
              <w:rPr>
                <w:b/>
                <w:sz w:val="40"/>
                <w:szCs w:val="40"/>
                <w:shd w:val="clear" w:color="auto" w:fill="FFFFFF"/>
              </w:rPr>
            </w:pPr>
            <w:r>
              <w:rPr>
                <w:b/>
                <w:sz w:val="40"/>
                <w:szCs w:val="40"/>
                <w:lang w:eastAsia="ru-RU"/>
              </w:rPr>
              <w:t xml:space="preserve">ТЕНДЕРНА ДОКУМЕНТАЦІЯ </w:t>
            </w:r>
          </w:p>
        </w:tc>
      </w:tr>
    </w:tbl>
    <w:p>
      <w:pPr>
        <w:tabs>
          <w:tab w:val="left" w:pos="708"/>
          <w:tab w:val="center" w:pos="4819"/>
          <w:tab w:val="right" w:pos="9639"/>
        </w:tabs>
        <w:spacing w:after="0" w:line="240" w:lineRule="auto"/>
        <w:jc w:val="center"/>
        <w:rPr>
          <w:szCs w:val="28"/>
          <w:lang w:eastAsia="ru-RU"/>
        </w:rPr>
      </w:pPr>
    </w:p>
    <w:p>
      <w:pPr>
        <w:tabs>
          <w:tab w:val="left" w:pos="708"/>
          <w:tab w:val="center" w:pos="4819"/>
          <w:tab w:val="right" w:pos="9639"/>
        </w:tabs>
        <w:spacing w:after="0" w:line="240" w:lineRule="auto"/>
        <w:jc w:val="center"/>
      </w:pPr>
      <w:r>
        <w:t>щодо проведення процедури відкритих торгів з особливостями на закупівлю</w:t>
      </w:r>
    </w:p>
    <w:p>
      <w:pPr>
        <w:tabs>
          <w:tab w:val="left" w:pos="708"/>
          <w:tab w:val="center" w:pos="4819"/>
          <w:tab w:val="right" w:pos="9639"/>
        </w:tabs>
        <w:spacing w:after="0" w:line="240" w:lineRule="auto"/>
        <w:jc w:val="center"/>
        <w:rPr>
          <w:sz w:val="24"/>
          <w:szCs w:val="24"/>
          <w:lang w:val="ru-RU"/>
        </w:rPr>
      </w:pPr>
      <w:r>
        <w:rPr>
          <w:sz w:val="24"/>
          <w:szCs w:val="24"/>
        </w:rPr>
        <w:t xml:space="preserve">Код ДК 021:2015: 32440000-9 Телеметричне та термінальне обладнання </w:t>
      </w:r>
      <w:r>
        <w:rPr>
          <w:sz w:val="24"/>
          <w:szCs w:val="24"/>
          <w:lang w:val="ru-RU"/>
        </w:rPr>
        <w:t>-</w:t>
      </w:r>
    </w:p>
    <w:p>
      <w:pPr>
        <w:spacing w:after="0" w:line="240" w:lineRule="auto"/>
        <w:jc w:val="center"/>
        <w:rPr>
          <w:sz w:val="24"/>
          <w:szCs w:val="24"/>
        </w:rPr>
      </w:pPr>
      <w:r>
        <w:rPr>
          <w:sz w:val="24"/>
          <w:szCs w:val="24"/>
          <w:lang w:val="ru-RU"/>
        </w:rPr>
        <w:t>т</w:t>
      </w:r>
      <w:r>
        <w:rPr>
          <w:sz w:val="24"/>
          <w:szCs w:val="24"/>
        </w:rPr>
        <w:t>ермінал виконавчого пункту  СУГО «або еквівалент»</w:t>
      </w:r>
      <w:r>
        <w:rPr>
          <w:sz w:val="24"/>
          <w:szCs w:val="24"/>
          <w:lang w:val="ru-RU"/>
        </w:rPr>
        <w:t>,</w:t>
      </w:r>
      <w:r>
        <w:rPr>
          <w:sz w:val="24"/>
          <w:szCs w:val="24"/>
        </w:rPr>
        <w:t xml:space="preserve"> </w:t>
      </w:r>
      <w:r>
        <w:rPr>
          <w:sz w:val="24"/>
          <w:szCs w:val="24"/>
          <w:lang w:val="ru-RU"/>
        </w:rPr>
        <w:t>р</w:t>
      </w:r>
      <w:r>
        <w:rPr>
          <w:sz w:val="24"/>
          <w:szCs w:val="24"/>
        </w:rPr>
        <w:t>обоча станція диспетчерського пункту</w:t>
      </w:r>
      <w:r>
        <w:rPr>
          <w:sz w:val="24"/>
          <w:szCs w:val="24"/>
          <w:lang w:val="ru-RU"/>
        </w:rPr>
        <w:t xml:space="preserve"> </w:t>
      </w:r>
      <w:r>
        <w:rPr>
          <w:sz w:val="24"/>
          <w:szCs w:val="24"/>
        </w:rPr>
        <w:t>з програмним забезпеченням</w:t>
      </w:r>
    </w:p>
    <w:p>
      <w:pPr>
        <w:tabs>
          <w:tab w:val="left" w:pos="708"/>
          <w:tab w:val="center" w:pos="4819"/>
          <w:tab w:val="right" w:pos="9639"/>
        </w:tabs>
        <w:spacing w:after="0" w:line="240" w:lineRule="auto"/>
        <w:jc w:val="center"/>
        <w:rPr>
          <w:sz w:val="24"/>
          <w:szCs w:val="24"/>
          <w:lang w:val="ru-RU"/>
        </w:rPr>
      </w:pPr>
    </w:p>
    <w:p>
      <w:pPr>
        <w:tabs>
          <w:tab w:val="left" w:pos="708"/>
          <w:tab w:val="center" w:pos="4819"/>
          <w:tab w:val="right" w:pos="9639"/>
        </w:tabs>
        <w:spacing w:after="0" w:line="240" w:lineRule="auto"/>
        <w:jc w:val="center"/>
        <w:rPr>
          <w:sz w:val="24"/>
          <w:szCs w:val="24"/>
          <w:lang w:val="ru-RU"/>
        </w:rPr>
      </w:pPr>
    </w:p>
    <w:p>
      <w:pPr>
        <w:tabs>
          <w:tab w:val="left" w:pos="708"/>
          <w:tab w:val="center" w:pos="4819"/>
          <w:tab w:val="right" w:pos="9639"/>
        </w:tabs>
        <w:spacing w:after="0" w:line="240" w:lineRule="auto"/>
        <w:jc w:val="cente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rPr>
          <w:b/>
          <w:color w:val="000000"/>
          <w:szCs w:val="28"/>
          <w:lang w:val="ru-RU"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jc w:val="center"/>
        <w:rPr>
          <w:b/>
          <w:bCs/>
          <w:szCs w:val="28"/>
          <w:lang w:val="ru-RU" w:eastAsia="ru-RU"/>
        </w:rPr>
      </w:pPr>
      <w:r>
        <w:rPr>
          <w:b/>
          <w:bCs/>
          <w:szCs w:val="28"/>
          <w:lang w:eastAsia="ru-RU"/>
        </w:rPr>
        <w:t xml:space="preserve">м. </w:t>
      </w:r>
      <w:r>
        <w:rPr>
          <w:b/>
          <w:bCs/>
          <w:szCs w:val="28"/>
          <w:lang w:val="uk-UA" w:eastAsia="ru-RU"/>
        </w:rPr>
        <w:t>Красилів</w:t>
      </w:r>
      <w:r>
        <w:rPr>
          <w:b/>
          <w:bCs/>
          <w:szCs w:val="28"/>
          <w:lang w:eastAsia="ru-RU"/>
        </w:rPr>
        <w:t xml:space="preserve"> – 2023</w:t>
      </w:r>
    </w:p>
    <w:p>
      <w:pPr>
        <w:spacing w:after="0" w:line="240" w:lineRule="auto"/>
        <w:jc w:val="center"/>
        <w:rPr>
          <w:bCs/>
          <w:color w:val="000000"/>
          <w:sz w:val="24"/>
          <w:szCs w:val="24"/>
          <w:lang w:eastAsia="ru-RU"/>
        </w:rPr>
      </w:pPr>
    </w:p>
    <w:p>
      <w:pPr>
        <w:spacing w:after="0" w:line="240" w:lineRule="auto"/>
        <w:jc w:val="center"/>
        <w:rPr>
          <w:bCs/>
          <w:color w:val="000000"/>
          <w:sz w:val="24"/>
          <w:szCs w:val="24"/>
          <w:lang w:eastAsia="ru-RU"/>
        </w:rPr>
      </w:pPr>
    </w:p>
    <w:tbl>
      <w:tblPr>
        <w:tblStyle w:val="6"/>
        <w:tblW w:w="10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838"/>
        <w:gridCol w:w="6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w:t>
            </w:r>
          </w:p>
        </w:tc>
        <w:tc>
          <w:tcPr>
            <w:tcW w:w="9636" w:type="dxa"/>
            <w:gridSpan w:val="2"/>
            <w:shd w:val="clear" w:color="auto" w:fill="auto"/>
            <w:vAlign w:val="center"/>
          </w:tcPr>
          <w:p>
            <w:pPr>
              <w:widowControl w:val="0"/>
              <w:spacing w:after="0" w:line="240" w:lineRule="auto"/>
              <w:contextualSpacing/>
              <w:jc w:val="center"/>
              <w:rPr>
                <w:b/>
                <w:color w:val="000000"/>
                <w:sz w:val="24"/>
                <w:szCs w:val="24"/>
                <w:lang w:eastAsia="uk-UA"/>
              </w:rPr>
            </w:pPr>
            <w:r>
              <w:rPr>
                <w:b/>
                <w:sz w:val="24"/>
                <w:szCs w:val="24"/>
                <w:lang w:eastAsia="uk-UA"/>
              </w:rPr>
              <w:t>І.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1</w:t>
            </w:r>
          </w:p>
        </w:tc>
        <w:tc>
          <w:tcPr>
            <w:tcW w:w="2838"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2</w:t>
            </w:r>
          </w:p>
        </w:tc>
        <w:tc>
          <w:tcPr>
            <w:tcW w:w="6798"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contextualSpacing/>
              <w:rPr>
                <w:color w:val="000000"/>
                <w:sz w:val="24"/>
                <w:szCs w:val="24"/>
                <w:lang w:eastAsia="uk-UA"/>
              </w:rPr>
            </w:pPr>
            <w:r>
              <w:rPr>
                <w:sz w:val="24"/>
                <w:szCs w:val="24"/>
                <w:lang w:eastAsia="uk-UA"/>
              </w:rPr>
              <w:t>Терміни, які вживаються в тендерній документації</w:t>
            </w:r>
          </w:p>
        </w:tc>
        <w:tc>
          <w:tcPr>
            <w:tcW w:w="6798" w:type="dxa"/>
            <w:shd w:val="clear" w:color="auto" w:fill="auto"/>
            <w:vAlign w:val="center"/>
          </w:tcPr>
          <w:p>
            <w:pPr>
              <w:widowControl w:val="0"/>
              <w:spacing w:after="0" w:line="240" w:lineRule="auto"/>
              <w:contextualSpacing/>
              <w:jc w:val="both"/>
              <w:rPr>
                <w:color w:val="000000"/>
                <w:sz w:val="24"/>
                <w:szCs w:val="24"/>
                <w:lang w:eastAsia="uk-UA"/>
              </w:rPr>
            </w:pPr>
            <w:r>
              <w:rPr>
                <w:color w:val="000000"/>
                <w:sz w:val="24"/>
                <w:szCs w:val="24"/>
                <w:lang w:eastAsia="ru-RU"/>
              </w:rPr>
              <w:t>Тендерну документацію розроблено відповідно до вимог</w:t>
            </w:r>
            <w:r>
              <w:rPr>
                <w:color w:val="000000"/>
                <w:sz w:val="24"/>
                <w:szCs w:val="24"/>
                <w:lang w:val="ru-RU" w:eastAsia="ru-RU"/>
              </w:rPr>
              <w:t> </w:t>
            </w:r>
            <w:r>
              <w:rPr>
                <w:color w:val="000000"/>
                <w:sz w:val="24"/>
                <w:szCs w:val="24"/>
                <w:lang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w:t>
            </w:r>
            <w:r>
              <w:rPr>
                <w:sz w:val="24"/>
                <w:szCs w:val="24"/>
              </w:rPr>
              <w:t>ерміни, які використовуються в цій тендерній документації, вживаються в значеннях, визначених Законом та Постановою № 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contextualSpacing/>
              <w:jc w:val="both"/>
              <w:rPr>
                <w:color w:val="000000"/>
                <w:sz w:val="24"/>
                <w:szCs w:val="24"/>
                <w:lang w:eastAsia="uk-UA"/>
              </w:rPr>
            </w:pPr>
            <w:r>
              <w:rPr>
                <w:sz w:val="24"/>
                <w:szCs w:val="24"/>
                <w:lang w:eastAsia="uk-UA"/>
              </w:rPr>
              <w:t>Інформація про Замовника торгів:</w:t>
            </w:r>
          </w:p>
        </w:tc>
        <w:tc>
          <w:tcPr>
            <w:tcW w:w="6798" w:type="dxa"/>
            <w:shd w:val="clear" w:color="auto" w:fill="auto"/>
          </w:tcPr>
          <w:p>
            <w:pPr>
              <w:widowControl w:val="0"/>
              <w:spacing w:after="0" w:line="240" w:lineRule="auto"/>
              <w:contextualSpacing/>
              <w:jc w:val="both"/>
              <w:rPr>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2.1</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повне найменування, код в ЄДРПОУ</w:t>
            </w:r>
          </w:p>
        </w:tc>
        <w:tc>
          <w:tcPr>
            <w:tcW w:w="6798" w:type="dxa"/>
            <w:shd w:val="clear" w:color="auto" w:fill="auto"/>
          </w:tcPr>
          <w:p>
            <w:pPr>
              <w:widowControl w:val="0"/>
              <w:spacing w:after="0" w:line="240" w:lineRule="auto"/>
              <w:contextualSpacing/>
              <w:jc w:val="both"/>
              <w:rPr>
                <w:rFonts w:hint="default"/>
                <w:color w:val="000000"/>
                <w:sz w:val="24"/>
                <w:szCs w:val="24"/>
                <w:lang w:val="uk-UA"/>
              </w:rPr>
            </w:pPr>
            <w:r>
              <w:rPr>
                <w:color w:val="000000"/>
                <w:sz w:val="24"/>
                <w:szCs w:val="24"/>
                <w:lang w:val="uk-UA"/>
              </w:rPr>
              <w:t>Красилівська</w:t>
            </w:r>
            <w:r>
              <w:rPr>
                <w:rFonts w:hint="default"/>
                <w:color w:val="000000"/>
                <w:sz w:val="24"/>
                <w:szCs w:val="24"/>
                <w:lang w:val="uk-UA"/>
              </w:rPr>
              <w:t xml:space="preserve"> житлово-експлуатаційна контора </w:t>
            </w:r>
          </w:p>
          <w:p>
            <w:pPr>
              <w:widowControl w:val="0"/>
              <w:spacing w:after="0" w:line="240" w:lineRule="auto"/>
              <w:contextualSpacing/>
              <w:jc w:val="both"/>
              <w:rPr>
                <w:color w:val="000000"/>
                <w:sz w:val="24"/>
                <w:szCs w:val="24"/>
              </w:rPr>
            </w:pPr>
            <w:r>
              <w:rPr>
                <w:color w:val="000000"/>
                <w:sz w:val="24"/>
                <w:szCs w:val="24"/>
              </w:rPr>
              <w:t xml:space="preserve">Скорочена назва: </w:t>
            </w:r>
            <w:r>
              <w:rPr>
                <w:color w:val="000000"/>
                <w:sz w:val="24"/>
                <w:szCs w:val="24"/>
                <w:lang w:val="uk-UA"/>
              </w:rPr>
              <w:t>красилівська</w:t>
            </w:r>
            <w:r>
              <w:rPr>
                <w:rFonts w:hint="default"/>
                <w:color w:val="000000"/>
                <w:sz w:val="24"/>
                <w:szCs w:val="24"/>
                <w:lang w:val="uk-UA"/>
              </w:rPr>
              <w:t xml:space="preserve"> ЖЕК</w:t>
            </w:r>
            <w:r>
              <w:rPr>
                <w:color w:val="000000"/>
                <w:sz w:val="24"/>
                <w:szCs w:val="24"/>
              </w:rPr>
              <w:t xml:space="preserve"> (код в ЄДРПОУ: </w:t>
            </w:r>
            <w:r>
              <w:rPr>
                <w:rFonts w:hint="default"/>
                <w:color w:val="202124"/>
                <w:sz w:val="24"/>
                <w:szCs w:val="24"/>
                <w:shd w:val="clear" w:color="auto" w:fill="FFFFFF"/>
                <w:lang w:val="uk-UA"/>
              </w:rPr>
              <w:t>03356200</w:t>
            </w:r>
            <w:r>
              <w:rPr>
                <w:color w:val="202124"/>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2.2</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798" w:type="dxa"/>
            <w:shd w:val="clear" w:color="auto" w:fill="auto"/>
          </w:tcPr>
          <w:p>
            <w:pPr>
              <w:widowControl w:val="0"/>
              <w:spacing w:after="0" w:line="240" w:lineRule="auto"/>
              <w:contextualSpacing/>
              <w:jc w:val="both"/>
              <w:rPr>
                <w:rFonts w:hint="default"/>
                <w:color w:val="000000"/>
                <w:sz w:val="24"/>
                <w:szCs w:val="24"/>
                <w:lang w:val="uk-UA" w:eastAsia="uk-UA"/>
              </w:rPr>
            </w:pPr>
            <w:r>
              <w:rPr>
                <w:rFonts w:hint="default"/>
                <w:color w:val="000000"/>
                <w:sz w:val="24"/>
                <w:szCs w:val="24"/>
                <w:lang w:val="uk-UA"/>
              </w:rPr>
              <w:t>31000</w:t>
            </w:r>
            <w:r>
              <w:rPr>
                <w:color w:val="000000"/>
                <w:sz w:val="24"/>
                <w:szCs w:val="24"/>
              </w:rPr>
              <w:t xml:space="preserve">,  </w:t>
            </w:r>
            <w:r>
              <w:rPr>
                <w:color w:val="000000"/>
                <w:sz w:val="24"/>
                <w:szCs w:val="24"/>
                <w:lang w:val="uk-UA"/>
              </w:rPr>
              <w:t>Хмельницька</w:t>
            </w:r>
            <w:r>
              <w:rPr>
                <w:rFonts w:hint="default"/>
                <w:color w:val="000000"/>
                <w:sz w:val="24"/>
                <w:szCs w:val="24"/>
                <w:lang w:val="uk-UA"/>
              </w:rPr>
              <w:t xml:space="preserve"> </w:t>
            </w:r>
            <w:r>
              <w:rPr>
                <w:color w:val="000000"/>
                <w:sz w:val="24"/>
                <w:szCs w:val="24"/>
              </w:rPr>
              <w:t xml:space="preserve"> обл., м. </w:t>
            </w:r>
            <w:r>
              <w:rPr>
                <w:color w:val="000000"/>
                <w:sz w:val="24"/>
                <w:szCs w:val="24"/>
                <w:lang w:val="uk-UA"/>
              </w:rPr>
              <w:t>Красилів</w:t>
            </w:r>
            <w:r>
              <w:rPr>
                <w:color w:val="000000"/>
                <w:sz w:val="24"/>
                <w:szCs w:val="24"/>
              </w:rPr>
              <w:t>, вул.</w:t>
            </w:r>
            <w:r>
              <w:rPr>
                <w:color w:val="000000"/>
                <w:sz w:val="24"/>
                <w:szCs w:val="24"/>
                <w:lang w:val="uk-UA"/>
              </w:rPr>
              <w:t>Щаслива</w:t>
            </w:r>
            <w:r>
              <w:rPr>
                <w:rFonts w:hint="default"/>
                <w:color w:val="000000"/>
                <w:sz w:val="24"/>
                <w:szCs w:val="24"/>
                <w:lang w:val="uk-UA"/>
              </w:rPr>
              <w: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2.3</w:t>
            </w:r>
          </w:p>
        </w:tc>
        <w:tc>
          <w:tcPr>
            <w:tcW w:w="2838" w:type="dxa"/>
            <w:shd w:val="clear" w:color="auto" w:fill="auto"/>
          </w:tcPr>
          <w:p>
            <w:pPr>
              <w:widowControl w:val="0"/>
              <w:spacing w:after="0" w:line="240" w:lineRule="auto"/>
              <w:contextualSpacing/>
              <w:jc w:val="both"/>
              <w:rPr>
                <w:color w:val="000000"/>
                <w:sz w:val="24"/>
                <w:szCs w:val="24"/>
                <w:lang w:eastAsia="uk-UA"/>
              </w:rPr>
            </w:pPr>
            <w:r>
              <w:rPr>
                <w:sz w:val="24"/>
                <w:szCs w:val="24"/>
                <w:lang w:eastAsia="uk-UA"/>
              </w:rPr>
              <w:t>посадова особа Замовника, уповноважена здійснювати зв'язок з Учасниками</w:t>
            </w:r>
          </w:p>
        </w:tc>
        <w:tc>
          <w:tcPr>
            <w:tcW w:w="6798" w:type="dxa"/>
            <w:shd w:val="clear" w:color="auto" w:fill="auto"/>
          </w:tcPr>
          <w:p>
            <w:pPr>
              <w:widowControl w:val="0"/>
              <w:spacing w:after="0" w:line="240" w:lineRule="auto"/>
              <w:ind w:left="120" w:hanging="120" w:hangingChars="50"/>
              <w:contextualSpacing/>
              <w:jc w:val="both"/>
              <w:rPr>
                <w:rFonts w:hint="default"/>
                <w:color w:val="000000"/>
                <w:sz w:val="24"/>
                <w:szCs w:val="24"/>
                <w:lang w:val="uk-UA"/>
              </w:rPr>
            </w:pPr>
            <w:r>
              <w:rPr>
                <w:color w:val="000000"/>
                <w:sz w:val="24"/>
                <w:szCs w:val="24"/>
                <w:lang w:val="uk-UA"/>
              </w:rPr>
              <w:t>Савицька</w:t>
            </w:r>
            <w:r>
              <w:rPr>
                <w:rFonts w:hint="default"/>
                <w:color w:val="000000"/>
                <w:sz w:val="24"/>
                <w:szCs w:val="24"/>
                <w:lang w:val="uk-UA"/>
              </w:rPr>
              <w:t xml:space="preserve"> Наталія Вікторівна</w:t>
            </w:r>
            <w:r>
              <w:rPr>
                <w:color w:val="000000"/>
                <w:sz w:val="24"/>
                <w:szCs w:val="24"/>
              </w:rPr>
              <w:t>, юрисконсульт,   тел. (</w:t>
            </w:r>
            <w:r>
              <w:rPr>
                <w:rFonts w:hint="default"/>
                <w:color w:val="000000"/>
                <w:sz w:val="24"/>
                <w:szCs w:val="24"/>
                <w:lang w:val="uk-UA"/>
              </w:rPr>
              <w:t>03855</w:t>
            </w:r>
            <w:r>
              <w:rPr>
                <w:color w:val="000000"/>
                <w:sz w:val="24"/>
                <w:szCs w:val="24"/>
              </w:rPr>
              <w:t xml:space="preserve">) </w:t>
            </w:r>
            <w:r>
              <w:rPr>
                <w:rFonts w:hint="default"/>
                <w:color w:val="000000"/>
                <w:sz w:val="24"/>
                <w:szCs w:val="24"/>
                <w:lang w:val="uk-UA"/>
              </w:rPr>
              <w:t xml:space="preserve">-    </w:t>
            </w:r>
            <w:bookmarkStart w:id="7" w:name="_GoBack"/>
            <w:bookmarkEnd w:id="7"/>
            <w:r>
              <w:rPr>
                <w:rFonts w:hint="default"/>
                <w:color w:val="000000"/>
                <w:sz w:val="24"/>
                <w:szCs w:val="24"/>
                <w:lang w:val="uk-UA"/>
              </w:rPr>
              <w:t>4-34-00</w:t>
            </w:r>
          </w:p>
          <w:p>
            <w:pPr>
              <w:widowControl w:val="0"/>
              <w:spacing w:after="0" w:line="240" w:lineRule="auto"/>
              <w:contextualSpacing/>
              <w:jc w:val="both"/>
              <w:rPr>
                <w:rFonts w:hint="default"/>
                <w:sz w:val="24"/>
                <w:szCs w:val="24"/>
                <w:lang w:val="en-US"/>
              </w:rPr>
            </w:pPr>
            <w:r>
              <w:rPr>
                <w:color w:val="000000"/>
                <w:sz w:val="24"/>
                <w:szCs w:val="24"/>
              </w:rPr>
              <w:t xml:space="preserve">E-mail: </w:t>
            </w:r>
            <w:r>
              <w:rPr>
                <w:rFonts w:hint="default"/>
                <w:color w:val="000000"/>
                <w:sz w:val="24"/>
                <w:szCs w:val="24"/>
                <w:lang w:val="en-US"/>
              </w:rPr>
              <w:t>komun9@i.ua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3</w:t>
            </w:r>
          </w:p>
        </w:tc>
        <w:tc>
          <w:tcPr>
            <w:tcW w:w="2838" w:type="dxa"/>
            <w:shd w:val="clear" w:color="auto" w:fill="auto"/>
          </w:tcPr>
          <w:p>
            <w:pPr>
              <w:widowControl w:val="0"/>
              <w:spacing w:after="0" w:line="240" w:lineRule="auto"/>
              <w:contextualSpacing/>
              <w:jc w:val="both"/>
              <w:rPr>
                <w:color w:val="000000"/>
                <w:sz w:val="24"/>
                <w:szCs w:val="24"/>
                <w:lang w:eastAsia="uk-UA"/>
              </w:rPr>
            </w:pPr>
            <w:r>
              <w:rPr>
                <w:sz w:val="24"/>
                <w:szCs w:val="24"/>
                <w:lang w:eastAsia="uk-UA"/>
              </w:rPr>
              <w:t>Процедура закупівлі</w:t>
            </w:r>
          </w:p>
        </w:tc>
        <w:tc>
          <w:tcPr>
            <w:tcW w:w="6798" w:type="dxa"/>
            <w:shd w:val="clear" w:color="auto" w:fill="auto"/>
          </w:tcPr>
          <w:p>
            <w:pPr>
              <w:widowControl w:val="0"/>
              <w:spacing w:after="0" w:line="240" w:lineRule="auto"/>
              <w:contextualSpacing/>
              <w:jc w:val="both"/>
              <w:rPr>
                <w:color w:val="000000"/>
                <w:sz w:val="24"/>
                <w:szCs w:val="24"/>
                <w:lang w:eastAsia="uk-UA"/>
              </w:rPr>
            </w:pPr>
            <w:r>
              <w:rPr>
                <w:color w:val="000000"/>
                <w:sz w:val="24"/>
                <w:szCs w:val="24"/>
                <w:lang w:eastAsia="uk-UA"/>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w:t>
            </w:r>
          </w:p>
        </w:tc>
        <w:tc>
          <w:tcPr>
            <w:tcW w:w="2838" w:type="dxa"/>
            <w:shd w:val="clear" w:color="auto" w:fill="auto"/>
          </w:tcPr>
          <w:p>
            <w:pPr>
              <w:widowControl w:val="0"/>
              <w:spacing w:after="0" w:line="240" w:lineRule="auto"/>
              <w:contextualSpacing/>
              <w:jc w:val="both"/>
              <w:rPr>
                <w:sz w:val="24"/>
                <w:szCs w:val="24"/>
                <w:lang w:eastAsia="uk-UA"/>
              </w:rPr>
            </w:pPr>
            <w:r>
              <w:rPr>
                <w:sz w:val="24"/>
                <w:szCs w:val="24"/>
                <w:lang w:eastAsia="uk-UA"/>
              </w:rPr>
              <w:t>Інформація про предмет закупівлі:</w:t>
            </w:r>
          </w:p>
        </w:tc>
        <w:tc>
          <w:tcPr>
            <w:tcW w:w="6798" w:type="dxa"/>
            <w:shd w:val="clear" w:color="auto" w:fill="auto"/>
          </w:tcPr>
          <w:p>
            <w:pPr>
              <w:widowControl w:val="0"/>
              <w:spacing w:after="0" w:line="240" w:lineRule="auto"/>
              <w:contextualSpacing/>
              <w:jc w:val="both"/>
              <w:rPr>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4.1</w:t>
            </w:r>
          </w:p>
        </w:tc>
        <w:tc>
          <w:tcPr>
            <w:tcW w:w="2838" w:type="dxa"/>
            <w:shd w:val="clear" w:color="auto" w:fill="auto"/>
          </w:tcPr>
          <w:p>
            <w:pPr>
              <w:widowControl w:val="0"/>
              <w:spacing w:after="0" w:line="240" w:lineRule="auto"/>
              <w:ind w:left="-9" w:right="113"/>
              <w:contextualSpacing/>
              <w:jc w:val="both"/>
              <w:rPr>
                <w:sz w:val="24"/>
                <w:szCs w:val="24"/>
                <w:lang w:eastAsia="uk-UA"/>
              </w:rPr>
            </w:pPr>
            <w:r>
              <w:rPr>
                <w:sz w:val="24"/>
                <w:szCs w:val="24"/>
                <w:lang w:eastAsia="uk-UA"/>
              </w:rPr>
              <w:t>назва предмета закупівлі</w:t>
            </w:r>
          </w:p>
        </w:tc>
        <w:tc>
          <w:tcPr>
            <w:tcW w:w="6798" w:type="dxa"/>
            <w:shd w:val="clear" w:color="auto" w:fill="auto"/>
          </w:tcPr>
          <w:p>
            <w:pPr>
              <w:widowControl w:val="0"/>
              <w:spacing w:after="0" w:line="240" w:lineRule="auto"/>
              <w:contextualSpacing/>
              <w:jc w:val="both"/>
              <w:rPr>
                <w:color w:val="000000"/>
                <w:sz w:val="24"/>
                <w:szCs w:val="24"/>
                <w:lang w:eastAsia="uk-UA"/>
              </w:rPr>
            </w:pPr>
            <w:r>
              <w:rPr>
                <w:color w:val="000000"/>
                <w:sz w:val="24"/>
                <w:szCs w:val="24"/>
                <w:lang w:eastAsia="uk-UA"/>
              </w:rPr>
              <w:t>Код ДК 021:2015: 32440000-9 Телеметричне та термінальне обладнання - термінал виконавчого пункту  СУГО «або еквівалент»,  робоча станція диспетчерського пункту з програмним забезпеченням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4.2</w:t>
            </w:r>
          </w:p>
        </w:tc>
        <w:tc>
          <w:tcPr>
            <w:tcW w:w="2838" w:type="dxa"/>
            <w:shd w:val="clear" w:color="auto" w:fill="auto"/>
          </w:tcPr>
          <w:p>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98" w:type="dxa"/>
            <w:shd w:val="clear" w:color="auto" w:fill="auto"/>
          </w:tcPr>
          <w:p>
            <w:pPr>
              <w:widowControl w:val="0"/>
              <w:spacing w:after="0" w:line="240" w:lineRule="auto"/>
              <w:ind w:right="113"/>
              <w:contextualSpacing/>
              <w:jc w:val="both"/>
              <w:rPr>
                <w:sz w:val="24"/>
                <w:szCs w:val="24"/>
                <w:lang w:eastAsia="uk-UA"/>
              </w:rPr>
            </w:pPr>
            <w:r>
              <w:rPr>
                <w:iCs/>
                <w:color w:val="000000"/>
                <w:sz w:val="24"/>
                <w:szCs w:val="24"/>
                <w:lang w:val="ru-RU" w:eastAsia="ru-RU"/>
              </w:rPr>
              <w:t>Закупівля здійснюється без поділу на лоти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4.3</w:t>
            </w:r>
          </w:p>
        </w:tc>
        <w:tc>
          <w:tcPr>
            <w:tcW w:w="2838" w:type="dxa"/>
            <w:shd w:val="clear" w:color="auto" w:fill="auto"/>
          </w:tcPr>
          <w:p>
            <w:pPr>
              <w:widowControl w:val="0"/>
              <w:spacing w:after="0" w:line="240" w:lineRule="auto"/>
              <w:ind w:left="-9" w:right="113"/>
              <w:contextualSpacing/>
              <w:jc w:val="both"/>
              <w:rPr>
                <w:sz w:val="24"/>
                <w:szCs w:val="24"/>
              </w:rPr>
            </w:pPr>
            <w:r>
              <w:rPr>
                <w:sz w:val="24"/>
                <w:szCs w:val="24"/>
              </w:rPr>
              <w:t>місце, кількість, обсяг поставки товарів (надання послуг, виконання робіт)</w:t>
            </w:r>
          </w:p>
        </w:tc>
        <w:tc>
          <w:tcPr>
            <w:tcW w:w="6798" w:type="dxa"/>
            <w:shd w:val="clear" w:color="auto" w:fill="auto"/>
          </w:tcPr>
          <w:p>
            <w:pPr>
              <w:widowControl w:val="0"/>
              <w:spacing w:after="0" w:line="240" w:lineRule="auto"/>
              <w:ind w:right="113"/>
              <w:contextualSpacing/>
              <w:jc w:val="both"/>
              <w:rPr>
                <w:sz w:val="24"/>
                <w:szCs w:val="24"/>
              </w:rPr>
            </w:pPr>
            <w:r>
              <w:rPr>
                <w:sz w:val="24"/>
                <w:szCs w:val="24"/>
              </w:rPr>
              <w:t>Згідно додатку № 3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4.4</w:t>
            </w:r>
          </w:p>
        </w:tc>
        <w:tc>
          <w:tcPr>
            <w:tcW w:w="2838" w:type="dxa"/>
            <w:shd w:val="clear" w:color="auto" w:fill="auto"/>
          </w:tcPr>
          <w:p>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798" w:type="dxa"/>
            <w:shd w:val="clear" w:color="auto" w:fill="auto"/>
          </w:tcPr>
          <w:p>
            <w:pPr>
              <w:widowControl w:val="0"/>
              <w:spacing w:after="0" w:line="240" w:lineRule="auto"/>
              <w:ind w:right="113" w:firstLine="120" w:firstLineChars="50"/>
              <w:contextualSpacing/>
              <w:jc w:val="both"/>
              <w:rPr>
                <w:rFonts w:hint="default"/>
                <w:sz w:val="24"/>
                <w:szCs w:val="24"/>
                <w:lang w:val="uk-UA"/>
              </w:rPr>
            </w:pPr>
            <w:r>
              <w:rPr>
                <w:rFonts w:hint="default"/>
                <w:sz w:val="24"/>
                <w:szCs w:val="24"/>
                <w:lang w:val="uk-UA"/>
              </w:rPr>
              <w:t>До 30.06.2023р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5</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798" w:type="dxa"/>
            <w:shd w:val="clear" w:color="auto" w:fill="auto"/>
          </w:tcPr>
          <w:p>
            <w:pPr>
              <w:widowControl w:val="0"/>
              <w:spacing w:after="0" w:line="240" w:lineRule="auto"/>
              <w:ind w:right="142" w:firstLine="454"/>
              <w:contextualSpacing/>
              <w:jc w:val="both"/>
              <w:rPr>
                <w:sz w:val="24"/>
                <w:szCs w:val="24"/>
              </w:rPr>
            </w:pPr>
            <w:r>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ind w:right="140" w:firstLine="456"/>
              <w:contextualSpacing/>
              <w:jc w:val="both"/>
              <w:rPr>
                <w:sz w:val="24"/>
                <w:szCs w:val="24"/>
              </w:rPr>
            </w:pPr>
            <w:r>
              <w:rPr>
                <w:sz w:val="24"/>
                <w:szCs w:val="24"/>
              </w:rPr>
              <w:t>Замовники забезпечують вільний доступ усіх учасників до інформації про закупівлю, передбаченої цим Законом.</w:t>
            </w:r>
          </w:p>
          <w:p>
            <w:pPr>
              <w:widowControl w:val="0"/>
              <w:spacing w:after="0" w:line="240" w:lineRule="auto"/>
              <w:ind w:right="142" w:firstLine="454"/>
              <w:contextualSpacing/>
              <w:jc w:val="both"/>
              <w:rPr>
                <w:color w:val="000000"/>
                <w:sz w:val="24"/>
                <w:szCs w:val="24"/>
                <w:lang w:eastAsia="ru-RU"/>
              </w:rPr>
            </w:pPr>
            <w:r>
              <w:rPr>
                <w:color w:val="000000"/>
                <w:sz w:val="24"/>
                <w:szCs w:val="24"/>
                <w:lang w:eastAsia="ru-RU"/>
              </w:rPr>
              <w:t>Замовник не встановлює жодних дискримінаційних вимог до учасників процедури закупівель.</w:t>
            </w:r>
          </w:p>
          <w:p>
            <w:pPr>
              <w:widowControl w:val="0"/>
              <w:spacing w:after="0" w:line="240" w:lineRule="auto"/>
              <w:ind w:right="142" w:firstLine="454"/>
              <w:contextualSpacing/>
              <w:jc w:val="both"/>
              <w:rPr>
                <w:color w:val="000000"/>
                <w:sz w:val="24"/>
                <w:szCs w:val="24"/>
                <w:lang w:eastAsia="ru-RU"/>
              </w:rPr>
            </w:pPr>
            <w:r>
              <w:rPr>
                <w:color w:val="000000"/>
                <w:sz w:val="24"/>
                <w:szCs w:val="24"/>
                <w:lang w:eastAsia="ru-RU"/>
              </w:rPr>
              <w:t>Але, Замовник відхиляє тендерну пропозицію із зазначенням аргументації в електронній системі закупівель у разі, коли:</w:t>
            </w:r>
          </w:p>
          <w:p>
            <w:pPr>
              <w:spacing w:after="0"/>
              <w:ind w:firstLine="341"/>
              <w:jc w:val="both"/>
              <w:rPr>
                <w:color w:val="000000"/>
                <w:sz w:val="24"/>
                <w:szCs w:val="24"/>
                <w:lang w:eastAsia="ru-RU"/>
              </w:rPr>
            </w:pPr>
            <w:r>
              <w:rPr>
                <w:color w:val="000000"/>
                <w:sz w:val="24"/>
                <w:szCs w:val="24"/>
                <w:lang w:eastAsia="ru-RU"/>
              </w:rPr>
              <w:t>Замовником при здійсненні публічних закупівель враховано вимоги Закону України «Про санкції», 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spacing w:after="0"/>
              <w:ind w:firstLine="341"/>
              <w:jc w:val="both"/>
              <w:rPr>
                <w:color w:val="000000"/>
                <w:sz w:val="24"/>
                <w:szCs w:val="24"/>
                <w:lang w:eastAsia="ru-RU"/>
              </w:rPr>
            </w:pPr>
            <w:r>
              <w:rPr>
                <w:color w:val="000000"/>
                <w:sz w:val="24"/>
                <w:szCs w:val="24"/>
                <w:lang w:eastAsia="ru-RU"/>
              </w:rPr>
              <w:t>Замовник не  здійснює публічні закупівлі товарів, робіт і послуг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6</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798" w:type="dxa"/>
            <w:shd w:val="clear" w:color="auto" w:fill="auto"/>
          </w:tcPr>
          <w:p>
            <w:pPr>
              <w:pStyle w:val="17"/>
              <w:spacing w:before="0" w:beforeAutospacing="0" w:after="0" w:afterAutospacing="0"/>
              <w:rPr>
                <w:color w:val="000000"/>
                <w:shd w:val="clear" w:color="auto" w:fill="FFFFFF"/>
                <w:lang w:val="uk-UA" w:eastAsia="en-US"/>
              </w:rPr>
            </w:pPr>
            <w:r>
              <w:rPr>
                <w:color w:val="000000"/>
                <w:lang w:val="uk-UA"/>
              </w:rPr>
              <w:t>В</w:t>
            </w:r>
            <w:r>
              <w:rPr>
                <w:color w:val="000000"/>
              </w:rPr>
              <w:t>алютою тендерної</w:t>
            </w:r>
            <w:r>
              <w:rPr>
                <w:color w:val="000000"/>
                <w:lang w:val="uk-UA"/>
              </w:rPr>
              <w:t xml:space="preserve"> </w:t>
            </w:r>
            <w:r>
              <w:rPr>
                <w:color w:val="000000"/>
              </w:rPr>
              <w:t>пропозиції є гривня</w:t>
            </w:r>
            <w:r>
              <w:rPr>
                <w:color w:val="000000"/>
                <w:lang w:val="uk-UA"/>
              </w:rPr>
              <w:t xml:space="preserve">. </w:t>
            </w:r>
            <w:r>
              <w:rPr>
                <w:color w:val="000000"/>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7</w:t>
            </w:r>
          </w:p>
        </w:tc>
        <w:tc>
          <w:tcPr>
            <w:tcW w:w="2838" w:type="dxa"/>
            <w:shd w:val="clear" w:color="auto" w:fill="auto"/>
            <w:vAlign w:val="center"/>
          </w:tcPr>
          <w:p>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повинно  бути  складено тендерні пропозиції</w:t>
            </w:r>
          </w:p>
        </w:tc>
        <w:tc>
          <w:tcPr>
            <w:tcW w:w="6798" w:type="dxa"/>
            <w:shd w:val="clear" w:color="auto" w:fill="auto"/>
          </w:tcPr>
          <w:p>
            <w:pPr>
              <w:widowControl w:val="0"/>
              <w:spacing w:after="0" w:line="240" w:lineRule="auto"/>
              <w:ind w:left="34" w:right="113" w:firstLine="283"/>
              <w:contextualSpacing/>
              <w:jc w:val="both"/>
              <w:rPr>
                <w:color w:val="000000"/>
                <w:sz w:val="24"/>
                <w:szCs w:val="24"/>
                <w:lang w:val="ru-RU" w:eastAsia="ru-RU"/>
              </w:rPr>
            </w:pPr>
            <w:r>
              <w:rPr>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pPr>
              <w:widowControl w:val="0"/>
              <w:spacing w:after="0" w:line="240" w:lineRule="auto"/>
              <w:ind w:left="34" w:right="113" w:firstLine="283"/>
              <w:contextualSpacing/>
              <w:jc w:val="both"/>
              <w:rPr>
                <w:color w:val="000000"/>
                <w:sz w:val="24"/>
                <w:szCs w:val="24"/>
                <w:lang w:val="ru-RU" w:eastAsia="ru-RU"/>
              </w:rPr>
            </w:pPr>
            <w:r>
              <w:rPr>
                <w:color w:val="000000"/>
                <w:sz w:val="24"/>
                <w:szCs w:val="24"/>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Якщо учасник торгів не є резидентом України, він може подавати свою тендерну пропозицію іншою мовою з обов’язковим перекладом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shd w:val="clear" w:color="auto" w:fill="auto"/>
          </w:tcPr>
          <w:p>
            <w:pPr>
              <w:spacing w:after="0" w:line="240" w:lineRule="auto"/>
              <w:jc w:val="center"/>
              <w:rPr>
                <w:sz w:val="24"/>
                <w:szCs w:val="24"/>
                <w:lang w:eastAsia="ru-RU"/>
              </w:rPr>
            </w:pPr>
            <w:r>
              <w:rPr>
                <w:color w:val="000000"/>
                <w:sz w:val="24"/>
                <w:szCs w:val="24"/>
                <w:lang w:val="ru-RU" w:eastAsia="ru-RU"/>
              </w:rPr>
              <w:t>8</w:t>
            </w:r>
          </w:p>
        </w:tc>
        <w:tc>
          <w:tcPr>
            <w:tcW w:w="2838" w:type="dxa"/>
            <w:shd w:val="clear" w:color="auto" w:fill="auto"/>
          </w:tcPr>
          <w:p>
            <w:pPr>
              <w:spacing w:after="0" w:line="240" w:lineRule="auto"/>
              <w:rPr>
                <w:sz w:val="24"/>
                <w:szCs w:val="24"/>
                <w:lang w:eastAsia="ru-RU"/>
              </w:rPr>
            </w:pPr>
            <w:r>
              <w:rPr>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98" w:type="dxa"/>
            <w:shd w:val="clear" w:color="auto" w:fill="auto"/>
          </w:tcPr>
          <w:p>
            <w:pPr>
              <w:widowControl w:val="0"/>
              <w:spacing w:after="0" w:line="240" w:lineRule="auto"/>
              <w:ind w:left="34" w:right="113" w:firstLine="283"/>
              <w:contextualSpacing/>
              <w:jc w:val="both"/>
              <w:rPr>
                <w:color w:val="000000"/>
                <w:sz w:val="24"/>
                <w:szCs w:val="24"/>
                <w:lang w:val="ru-RU" w:eastAsia="ru-RU"/>
              </w:rPr>
            </w:pPr>
            <w:r>
              <w:rPr>
                <w:color w:val="000000"/>
                <w:sz w:val="24"/>
                <w:szCs w:val="24"/>
                <w:lang w:val="ru-RU"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after="0" w:line="240" w:lineRule="auto"/>
              <w:jc w:val="both"/>
              <w:rPr>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52" w:type="dxa"/>
            <w:gridSpan w:val="3"/>
            <w:shd w:val="clear" w:color="auto" w:fill="auto"/>
            <w:vAlign w:val="center"/>
          </w:tcPr>
          <w:p>
            <w:pPr>
              <w:widowControl w:val="0"/>
              <w:spacing w:after="0" w:line="240" w:lineRule="auto"/>
              <w:contextualSpacing/>
              <w:jc w:val="center"/>
              <w:rPr>
                <w:b/>
                <w:sz w:val="24"/>
                <w:szCs w:val="24"/>
              </w:rPr>
            </w:pPr>
          </w:p>
          <w:p>
            <w:pPr>
              <w:widowControl w:val="0"/>
              <w:spacing w:after="0" w:line="240" w:lineRule="auto"/>
              <w:contextualSpacing/>
              <w:jc w:val="center"/>
              <w:rPr>
                <w:b/>
                <w:color w:val="000000"/>
                <w:sz w:val="24"/>
                <w:szCs w:val="24"/>
                <w:lang w:eastAsia="uk-UA"/>
              </w:rPr>
            </w:pPr>
            <w:r>
              <w:rPr>
                <w:b/>
                <w:sz w:val="24"/>
                <w:szCs w:val="24"/>
              </w:rPr>
              <w:t>ІІ.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000000"/>
                <w:sz w:val="24"/>
                <w:szCs w:val="24"/>
                <w:lang w:val="ru-RU" w:eastAsia="ru-RU"/>
              </w:rPr>
              <w:t>Усі</w:t>
            </w:r>
            <w:r>
              <w:rPr>
                <w:color w:val="000000"/>
                <w:sz w:val="24"/>
                <w:szCs w:val="24"/>
                <w:lang w:eastAsia="ru-RU"/>
              </w:rPr>
              <w:t xml:space="preserve"> </w:t>
            </w:r>
            <w:r>
              <w:rPr>
                <w:color w:val="000000"/>
                <w:sz w:val="24"/>
                <w:szCs w:val="24"/>
                <w:lang w:val="ru-RU" w:eastAsia="ru-RU"/>
              </w:rPr>
              <w:t>звернення за роз’ясненнями та звернення</w:t>
            </w:r>
            <w:r>
              <w:rPr>
                <w:color w:val="000000"/>
                <w:sz w:val="24"/>
                <w:szCs w:val="24"/>
                <w:lang w:eastAsia="ru-RU"/>
              </w:rPr>
              <w:t xml:space="preserve"> </w:t>
            </w:r>
            <w:r>
              <w:rPr>
                <w:color w:val="000000"/>
                <w:sz w:val="24"/>
                <w:szCs w:val="24"/>
                <w:lang w:val="ru-RU" w:eastAsia="ru-RU"/>
              </w:rPr>
              <w:t>щодо</w:t>
            </w:r>
            <w:r>
              <w:rPr>
                <w:color w:val="000000"/>
                <w:sz w:val="24"/>
                <w:szCs w:val="24"/>
                <w:lang w:eastAsia="ru-RU"/>
              </w:rPr>
              <w:t xml:space="preserve"> </w:t>
            </w:r>
            <w:r>
              <w:rPr>
                <w:color w:val="000000"/>
                <w:sz w:val="24"/>
                <w:szCs w:val="24"/>
                <w:lang w:val="ru-RU" w:eastAsia="ru-RU"/>
              </w:rPr>
              <w:t>усунення</w:t>
            </w:r>
            <w:r>
              <w:rPr>
                <w:color w:val="000000"/>
                <w:sz w:val="24"/>
                <w:szCs w:val="24"/>
                <w:lang w:eastAsia="ru-RU"/>
              </w:rPr>
              <w:t xml:space="preserve"> </w:t>
            </w:r>
            <w:r>
              <w:rPr>
                <w:color w:val="000000"/>
                <w:sz w:val="24"/>
                <w:szCs w:val="24"/>
                <w:lang w:val="ru-RU" w:eastAsia="ru-RU"/>
              </w:rPr>
              <w:t>порушення автоматично оприлюднюються в електронній</w:t>
            </w:r>
            <w:r>
              <w:rPr>
                <w:color w:val="000000"/>
                <w:sz w:val="24"/>
                <w:szCs w:val="24"/>
                <w:lang w:eastAsia="ru-RU"/>
              </w:rPr>
              <w:t xml:space="preserve"> </w:t>
            </w:r>
            <w:r>
              <w:rPr>
                <w:color w:val="000000"/>
                <w:sz w:val="24"/>
                <w:szCs w:val="24"/>
                <w:lang w:val="ru-RU" w:eastAsia="ru-RU"/>
              </w:rPr>
              <w:t>системі</w:t>
            </w:r>
            <w:r>
              <w:rPr>
                <w:color w:val="000000"/>
                <w:sz w:val="24"/>
                <w:szCs w:val="24"/>
                <w:lang w:eastAsia="ru-RU"/>
              </w:rPr>
              <w:t xml:space="preserve"> </w:t>
            </w:r>
            <w:r>
              <w:rPr>
                <w:color w:val="000000"/>
                <w:sz w:val="24"/>
                <w:szCs w:val="24"/>
                <w:lang w:val="ru-RU" w:eastAsia="ru-RU"/>
              </w:rPr>
              <w:t>закупівель без ідентифікації особи, яка звернулася до замовника. Замовник повинен протягом</w:t>
            </w:r>
            <w:r>
              <w:rPr>
                <w:color w:val="000000"/>
                <w:sz w:val="24"/>
                <w:szCs w:val="24"/>
                <w:lang w:eastAsia="ru-RU"/>
              </w:rPr>
              <w:t xml:space="preserve"> </w:t>
            </w:r>
            <w:r>
              <w:rPr>
                <w:color w:val="000000"/>
                <w:sz w:val="24"/>
                <w:szCs w:val="24"/>
                <w:lang w:val="ru-RU" w:eastAsia="ru-RU"/>
              </w:rPr>
              <w:t>трьох</w:t>
            </w:r>
            <w:r>
              <w:rPr>
                <w:color w:val="000000"/>
                <w:sz w:val="24"/>
                <w:szCs w:val="24"/>
                <w:lang w:eastAsia="ru-RU"/>
              </w:rPr>
              <w:t xml:space="preserve"> </w:t>
            </w:r>
            <w:r>
              <w:rPr>
                <w:color w:val="000000"/>
                <w:sz w:val="24"/>
                <w:szCs w:val="24"/>
                <w:lang w:val="ru-RU" w:eastAsia="ru-RU"/>
              </w:rPr>
              <w:t>днів з дати</w:t>
            </w:r>
            <w:r>
              <w:rPr>
                <w:color w:val="000000"/>
                <w:sz w:val="24"/>
                <w:szCs w:val="24"/>
                <w:lang w:eastAsia="ru-RU"/>
              </w:rPr>
              <w:t xml:space="preserve"> </w:t>
            </w:r>
            <w:r>
              <w:rPr>
                <w:color w:val="000000"/>
                <w:sz w:val="24"/>
                <w:szCs w:val="24"/>
                <w:lang w:val="ru-RU" w:eastAsia="ru-RU"/>
              </w:rPr>
              <w:t>їх</w:t>
            </w:r>
            <w:r>
              <w:rPr>
                <w:color w:val="000000"/>
                <w:sz w:val="24"/>
                <w:szCs w:val="24"/>
                <w:lang w:eastAsia="ru-RU"/>
              </w:rPr>
              <w:t xml:space="preserve"> </w:t>
            </w:r>
            <w:r>
              <w:rPr>
                <w:color w:val="000000"/>
                <w:sz w:val="24"/>
                <w:szCs w:val="24"/>
                <w:lang w:val="ru-RU" w:eastAsia="ru-RU"/>
              </w:rPr>
              <w:t>оприлюднення</w:t>
            </w:r>
            <w:r>
              <w:rPr>
                <w:color w:val="000000"/>
                <w:sz w:val="24"/>
                <w:szCs w:val="24"/>
                <w:lang w:eastAsia="ru-RU"/>
              </w:rPr>
              <w:t xml:space="preserve"> </w:t>
            </w:r>
            <w:r>
              <w:rPr>
                <w:color w:val="000000"/>
                <w:sz w:val="24"/>
                <w:szCs w:val="24"/>
                <w:lang w:val="ru-RU" w:eastAsia="ru-RU"/>
              </w:rPr>
              <w:t>надати</w:t>
            </w:r>
            <w:r>
              <w:rPr>
                <w:color w:val="000000"/>
                <w:sz w:val="24"/>
                <w:szCs w:val="24"/>
                <w:lang w:eastAsia="ru-RU"/>
              </w:rPr>
              <w:t xml:space="preserve"> </w:t>
            </w:r>
            <w:r>
              <w:rPr>
                <w:color w:val="000000"/>
                <w:sz w:val="24"/>
                <w:szCs w:val="24"/>
                <w:lang w:val="ru-RU" w:eastAsia="ru-RU"/>
              </w:rPr>
              <w:t>роз’яснення на звернення шляхом оприлюднення</w:t>
            </w:r>
            <w:r>
              <w:rPr>
                <w:color w:val="000000"/>
                <w:sz w:val="24"/>
                <w:szCs w:val="24"/>
                <w:lang w:eastAsia="ru-RU"/>
              </w:rPr>
              <w:t xml:space="preserve"> </w:t>
            </w:r>
            <w:r>
              <w:rPr>
                <w:color w:val="000000"/>
                <w:sz w:val="24"/>
                <w:szCs w:val="24"/>
                <w:lang w:val="ru-RU" w:eastAsia="ru-RU"/>
              </w:rPr>
              <w:t>його в електронній</w:t>
            </w:r>
            <w:r>
              <w:rPr>
                <w:color w:val="000000"/>
                <w:sz w:val="24"/>
                <w:szCs w:val="24"/>
                <w:lang w:eastAsia="ru-RU"/>
              </w:rPr>
              <w:t xml:space="preserve"> </w:t>
            </w:r>
            <w:r>
              <w:rPr>
                <w:color w:val="000000"/>
                <w:sz w:val="24"/>
                <w:szCs w:val="24"/>
                <w:lang w:val="ru-RU" w:eastAsia="ru-RU"/>
              </w:rPr>
              <w:t>системі</w:t>
            </w:r>
            <w:r>
              <w:rPr>
                <w:color w:val="000000"/>
                <w:sz w:val="24"/>
                <w:szCs w:val="24"/>
                <w:lang w:eastAsia="ru-RU"/>
              </w:rPr>
              <w:t xml:space="preserve"> </w:t>
            </w:r>
            <w:r>
              <w:rPr>
                <w:color w:val="000000"/>
                <w:sz w:val="24"/>
                <w:szCs w:val="24"/>
                <w:lang w:val="ru-RU" w:eastAsia="ru-RU"/>
              </w:rPr>
              <w:t>закупівель.</w:t>
            </w:r>
            <w:r>
              <w:rPr>
                <w:color w:val="000000"/>
                <w:sz w:val="24"/>
                <w:szCs w:val="24"/>
                <w:lang w:eastAsia="ru-RU"/>
              </w:rPr>
              <w:t xml:space="preserve"> </w:t>
            </w:r>
            <w:r>
              <w:rPr>
                <w:color w:val="000000"/>
                <w:sz w:val="24"/>
                <w:szCs w:val="24"/>
                <w:lang w:val="ru-RU" w:eastAsia="ru-RU"/>
              </w:rPr>
              <w:t>У разі</w:t>
            </w:r>
            <w:r>
              <w:rPr>
                <w:color w:val="000000"/>
                <w:sz w:val="24"/>
                <w:szCs w:val="24"/>
                <w:lang w:eastAsia="ru-RU"/>
              </w:rPr>
              <w:t xml:space="preserve"> </w:t>
            </w:r>
            <w:r>
              <w:rPr>
                <w:color w:val="000000"/>
                <w:sz w:val="24"/>
                <w:szCs w:val="24"/>
                <w:lang w:val="ru-RU" w:eastAsia="ru-RU"/>
              </w:rPr>
              <w:t>несвоєчасного</w:t>
            </w:r>
            <w:r>
              <w:rPr>
                <w:color w:val="000000"/>
                <w:sz w:val="24"/>
                <w:szCs w:val="24"/>
                <w:lang w:eastAsia="ru-RU"/>
              </w:rPr>
              <w:t xml:space="preserve"> </w:t>
            </w:r>
            <w:r>
              <w:rPr>
                <w:color w:val="000000"/>
                <w:sz w:val="24"/>
                <w:szCs w:val="24"/>
                <w:lang w:val="ru-RU" w:eastAsia="ru-RU"/>
              </w:rPr>
              <w:t>надання</w:t>
            </w:r>
            <w:r>
              <w:rPr>
                <w:color w:val="000000"/>
                <w:sz w:val="24"/>
                <w:szCs w:val="24"/>
                <w:lang w:eastAsia="ru-RU"/>
              </w:rPr>
              <w:t xml:space="preserve"> замовником </w:t>
            </w:r>
            <w:r>
              <w:rPr>
                <w:color w:val="000000"/>
                <w:sz w:val="24"/>
                <w:szCs w:val="24"/>
                <w:lang w:val="ru-RU" w:eastAsia="ru-RU"/>
              </w:rPr>
              <w:t>роз’яснень</w:t>
            </w:r>
            <w:r>
              <w:rPr>
                <w:color w:val="000000"/>
                <w:sz w:val="24"/>
                <w:szCs w:val="24"/>
                <w:lang w:eastAsia="ru-RU"/>
              </w:rPr>
              <w:t xml:space="preserve"> </w:t>
            </w:r>
            <w:r>
              <w:rPr>
                <w:color w:val="000000"/>
                <w:sz w:val="24"/>
                <w:szCs w:val="24"/>
                <w:lang w:val="ru-RU" w:eastAsia="ru-RU"/>
              </w:rPr>
              <w:t>щодо</w:t>
            </w:r>
            <w:r>
              <w:rPr>
                <w:color w:val="000000"/>
                <w:sz w:val="24"/>
                <w:szCs w:val="24"/>
                <w:lang w:eastAsia="ru-RU"/>
              </w:rPr>
              <w:t xml:space="preserve"> </w:t>
            </w:r>
            <w:r>
              <w:rPr>
                <w:color w:val="000000"/>
                <w:sz w:val="24"/>
                <w:szCs w:val="24"/>
                <w:lang w:val="ru-RU" w:eastAsia="ru-RU"/>
              </w:rPr>
              <w:t>змісту</w:t>
            </w:r>
            <w:r>
              <w:rPr>
                <w:color w:val="000000"/>
                <w:sz w:val="24"/>
                <w:szCs w:val="24"/>
                <w:lang w:eastAsia="ru-RU"/>
              </w:rPr>
              <w:t xml:space="preserve"> </w:t>
            </w:r>
            <w:r>
              <w:rPr>
                <w:color w:val="000000"/>
                <w:sz w:val="24"/>
                <w:szCs w:val="24"/>
                <w:lang w:val="ru-RU" w:eastAsia="ru-RU"/>
              </w:rPr>
              <w:t>тендерної</w:t>
            </w:r>
            <w:r>
              <w:rPr>
                <w:color w:val="000000"/>
                <w:sz w:val="24"/>
                <w:szCs w:val="24"/>
                <w:lang w:eastAsia="ru-RU"/>
              </w:rPr>
              <w:t xml:space="preserve"> </w:t>
            </w:r>
            <w:r>
              <w:rPr>
                <w:color w:val="000000"/>
                <w:sz w:val="24"/>
                <w:szCs w:val="24"/>
                <w:lang w:val="ru-RU" w:eastAsia="ru-RU"/>
              </w:rPr>
              <w:t>документації</w:t>
            </w:r>
            <w:r>
              <w:rPr>
                <w:color w:val="000000"/>
                <w:sz w:val="24"/>
                <w:szCs w:val="24"/>
                <w:lang w:eastAsia="ru-RU"/>
              </w:rPr>
              <w:t xml:space="preserve"> </w:t>
            </w:r>
            <w:r>
              <w:rPr>
                <w:color w:val="000000"/>
                <w:sz w:val="24"/>
                <w:szCs w:val="24"/>
                <w:lang w:val="ru-RU" w:eastAsia="ru-RU"/>
              </w:rPr>
              <w:t>електронна система закупівель автоматично зупиняє</w:t>
            </w:r>
            <w:r>
              <w:rPr>
                <w:color w:val="000000"/>
                <w:sz w:val="24"/>
                <w:szCs w:val="24"/>
                <w:lang w:eastAsia="ru-RU"/>
              </w:rPr>
              <w:t xml:space="preserve"> </w:t>
            </w:r>
            <w:r>
              <w:rPr>
                <w:color w:val="000000"/>
                <w:sz w:val="24"/>
                <w:szCs w:val="24"/>
                <w:lang w:val="ru-RU" w:eastAsia="ru-RU"/>
              </w:rPr>
              <w:t>перебіг</w:t>
            </w:r>
            <w:r>
              <w:rPr>
                <w:color w:val="000000"/>
                <w:sz w:val="24"/>
                <w:szCs w:val="24"/>
                <w:lang w:eastAsia="ru-RU"/>
              </w:rPr>
              <w:t xml:space="preserve"> </w:t>
            </w:r>
            <w:r>
              <w:rPr>
                <w:color w:val="000000"/>
                <w:sz w:val="24"/>
                <w:szCs w:val="24"/>
                <w:lang w:val="ru-RU" w:eastAsia="ru-RU"/>
              </w:rPr>
              <w:t>відкритих</w:t>
            </w:r>
            <w:r>
              <w:rPr>
                <w:color w:val="000000"/>
                <w:sz w:val="24"/>
                <w:szCs w:val="24"/>
                <w:lang w:eastAsia="ru-RU"/>
              </w:rPr>
              <w:t xml:space="preserve"> </w:t>
            </w:r>
            <w:r>
              <w:rPr>
                <w:color w:val="000000"/>
                <w:sz w:val="24"/>
                <w:szCs w:val="24"/>
                <w:lang w:val="ru-RU" w:eastAsia="ru-RU"/>
              </w:rPr>
              <w:t>торгів.</w:t>
            </w:r>
          </w:p>
          <w:p>
            <w:pPr>
              <w:spacing w:after="0" w:line="240" w:lineRule="auto"/>
              <w:jc w:val="both"/>
              <w:rPr>
                <w:sz w:val="24"/>
                <w:szCs w:val="24"/>
              </w:rPr>
            </w:pPr>
            <w:r>
              <w:rPr>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jc w:val="center"/>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20"/>
              <w:widowControl w:val="0"/>
              <w:ind w:right="113"/>
              <w:contextualSpacing/>
              <w:jc w:val="both"/>
              <w:rPr>
                <w:rFonts w:ascii="Times New Roman" w:hAnsi="Times New Roman"/>
                <w:sz w:val="24"/>
                <w:szCs w:val="24"/>
              </w:rPr>
            </w:pPr>
            <w:r>
              <w:rPr>
                <w:rFonts w:ascii="Times New Roman" w:hAnsi="Times New Roman" w:eastAsia="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152" w:type="dxa"/>
            <w:gridSpan w:val="3"/>
            <w:shd w:val="clear" w:color="auto" w:fill="auto"/>
            <w:vAlign w:val="center"/>
          </w:tcPr>
          <w:p>
            <w:pPr>
              <w:widowControl w:val="0"/>
              <w:spacing w:after="0" w:line="240" w:lineRule="auto"/>
              <w:contextualSpacing/>
              <w:jc w:val="center"/>
              <w:rPr>
                <w:b/>
                <w:sz w:val="24"/>
                <w:szCs w:val="24"/>
                <w:lang w:eastAsia="uk-UA"/>
              </w:rPr>
            </w:pPr>
          </w:p>
          <w:p>
            <w:pPr>
              <w:widowControl w:val="0"/>
              <w:spacing w:after="0" w:line="240" w:lineRule="auto"/>
              <w:contextualSpacing/>
              <w:jc w:val="center"/>
              <w:rPr>
                <w:b/>
                <w:color w:val="000000"/>
                <w:sz w:val="24"/>
                <w:szCs w:val="24"/>
                <w:lang w:eastAsia="uk-UA"/>
              </w:rPr>
            </w:pPr>
            <w:r>
              <w:rPr>
                <w:b/>
                <w:sz w:val="24"/>
                <w:szCs w:val="24"/>
                <w:lang w:eastAsia="uk-UA"/>
              </w:rPr>
              <w:t>ІІІ.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jc w:val="center"/>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Зміст і спосіб подання тендерної пропозиції</w:t>
            </w:r>
          </w:p>
        </w:tc>
        <w:tc>
          <w:tcPr>
            <w:tcW w:w="6798" w:type="dxa"/>
            <w:shd w:val="clear" w:color="auto" w:fill="auto"/>
          </w:tcPr>
          <w:p>
            <w:pPr>
              <w:pStyle w:val="11"/>
              <w:rPr>
                <w:sz w:val="16"/>
                <w:szCs w:val="16"/>
                <w:lang w:val="uk-UA"/>
              </w:rPr>
            </w:pPr>
            <w:r>
              <w:rPr>
                <w:rFonts w:eastAsia="Calibri"/>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в п.44 Особливостей і в тендерній документації, та шляхом завантаження:</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документи, які підтверджують повноваження особи на підписання тендерної пропозиції;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цінової  пропозиції (за формою, зазначеною в Додатку № 4  до цієї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листа-згоди на використання персональних даних осіб, які в складі тендерної пропозиції будуть подавати інформацію або документи з зазначенням в них персональних даних ;</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копії діючого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(якщо на момент подання пропозиції доступ до зазначеного реєстру не є обмеженим);</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Повноваження щодо підпису документів тендерної пропозиції учасника процедури закупівлі підтверджується наступними документами:</w:t>
            </w:r>
          </w:p>
          <w:p>
            <w:pPr>
              <w:suppressAutoHyphens/>
              <w:spacing w:after="0" w:line="240" w:lineRule="auto"/>
              <w:jc w:val="both"/>
              <w:rPr>
                <w:rFonts w:eastAsia="Calibri"/>
                <w:sz w:val="24"/>
                <w:szCs w:val="24"/>
                <w:lang w:eastAsia="ru-RU"/>
              </w:rPr>
            </w:pPr>
            <w:r>
              <w:rPr>
                <w:rFonts w:eastAsia="Calibri"/>
                <w:sz w:val="24"/>
                <w:szCs w:val="24"/>
                <w:lang w:eastAsia="ru-RU"/>
              </w:rPr>
              <w:t>Для Учасника – юридичної особи</w:t>
            </w:r>
          </w:p>
          <w:p>
            <w:pPr>
              <w:spacing w:after="0" w:line="240" w:lineRule="auto"/>
              <w:ind w:hanging="21"/>
              <w:jc w:val="both"/>
              <w:rPr>
                <w:rFonts w:eastAsia="Calibri"/>
                <w:sz w:val="24"/>
                <w:szCs w:val="24"/>
                <w:lang w:eastAsia="ru-RU"/>
              </w:rPr>
            </w:pPr>
            <w:r>
              <w:rPr>
                <w:rFonts w:eastAsia="Calibri"/>
                <w:sz w:val="24"/>
                <w:szCs w:val="24"/>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spacing w:after="0" w:line="240" w:lineRule="auto"/>
              <w:ind w:hanging="21"/>
              <w:jc w:val="both"/>
              <w:rPr>
                <w:rFonts w:eastAsia="Calibri"/>
                <w:sz w:val="24"/>
                <w:szCs w:val="24"/>
                <w:lang w:eastAsia="ru-RU"/>
              </w:rPr>
            </w:pPr>
            <w:r>
              <w:rPr>
                <w:rFonts w:eastAsia="Calibri"/>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з наданням копії паспорту* або іншого документу (чинного на момент подання пропозиції), виданого уповноваженим органом України або іноземної держави, який посвідчує особу  уповноваженого (якщо повноваження надаються у відповідності до паспортних даних чи іншого документу).</w:t>
            </w:r>
          </w:p>
          <w:p>
            <w:pPr>
              <w:suppressAutoHyphens/>
              <w:spacing w:after="0" w:line="240" w:lineRule="auto"/>
              <w:jc w:val="both"/>
              <w:rPr>
                <w:rFonts w:eastAsia="Calibri"/>
                <w:sz w:val="24"/>
                <w:szCs w:val="24"/>
                <w:lang w:eastAsia="ru-RU"/>
              </w:rPr>
            </w:pPr>
            <w:r>
              <w:rPr>
                <w:rFonts w:eastAsia="Calibri"/>
                <w:sz w:val="24"/>
                <w:szCs w:val="24"/>
                <w:lang w:eastAsia="ru-RU"/>
              </w:rPr>
              <w:t>Для Учасника – фізичної особи, у тому числі фізичної особи–підприємця:</w:t>
            </w:r>
          </w:p>
          <w:p>
            <w:pPr>
              <w:spacing w:after="0" w:line="240" w:lineRule="auto"/>
              <w:jc w:val="both"/>
              <w:rPr>
                <w:rFonts w:eastAsia="Calibri"/>
                <w:sz w:val="24"/>
                <w:szCs w:val="24"/>
                <w:lang w:eastAsia="ru-RU"/>
              </w:rPr>
            </w:pPr>
            <w:r>
              <w:rPr>
                <w:rFonts w:eastAsia="Calibri"/>
                <w:sz w:val="24"/>
                <w:szCs w:val="24"/>
                <w:lang w:eastAsia="ru-RU"/>
              </w:rPr>
              <w:t xml:space="preserve">- копія паспорта чи іншого документу (чинного на момент подання пропозиції), виданого уповноваженим органом України або іноземної держави, що посвідчує особу учасника. </w:t>
            </w:r>
          </w:p>
          <w:p>
            <w:pPr>
              <w:spacing w:after="0" w:line="240" w:lineRule="auto"/>
              <w:jc w:val="both"/>
              <w:rPr>
                <w:rFonts w:eastAsia="Calibri"/>
                <w:sz w:val="24"/>
                <w:szCs w:val="24"/>
                <w:lang w:eastAsia="ru-RU"/>
              </w:rPr>
            </w:pPr>
            <w:r>
              <w:rPr>
                <w:rFonts w:eastAsia="Calibri"/>
                <w:sz w:val="24"/>
                <w:szCs w:val="24"/>
                <w:lang w:eastAsia="ru-RU"/>
              </w:rPr>
              <w:t>- копія довідки про надання ідентифікаційного коду* (у разі відсутності з релігійних переконань -  копія сторінки паспорту з відповідною відміткою), або обґрунтовані пояснення у довільній формі щодо неможливості надання зазначеного документу.</w:t>
            </w:r>
          </w:p>
          <w:p>
            <w:pPr>
              <w:spacing w:after="0" w:line="240" w:lineRule="auto"/>
              <w:ind w:firstLine="567"/>
              <w:jc w:val="both"/>
              <w:rPr>
                <w:rFonts w:eastAsia="Calibri"/>
                <w:sz w:val="24"/>
                <w:szCs w:val="24"/>
                <w:lang w:eastAsia="ru-RU"/>
              </w:rPr>
            </w:pPr>
            <w:r>
              <w:rPr>
                <w:rFonts w:eastAsia="Calibri"/>
                <w:sz w:val="24"/>
                <w:szCs w:val="24"/>
                <w:lang w:eastAsia="ru-RU"/>
              </w:rPr>
              <w:t>*подаються копії всіх сторінок паспорту окрім титульної</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Копія витягу з реєстру платників податку на додану вартість (копія Свідоцтва про реєстрацію платника податку на додану вартість), у разі наявності.</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Копія витягу з реєстру платників єдиного податку (копія Свідоцтва про сплату єдиного податку), у разі наявності.</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Гарантійний лист (в довільній формі), яким Учасник підтверджує свою згоду на укладення договору на умовах проекту договору, що є Додатком  5 до цієї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інших документів та / або інформації визначені тендерною документацією та додатками.</w:t>
            </w:r>
          </w:p>
          <w:p>
            <w:pPr>
              <w:spacing w:after="0" w:line="240" w:lineRule="auto"/>
              <w:jc w:val="both"/>
              <w:rPr>
                <w:rFonts w:eastAsia="Calibri"/>
                <w:sz w:val="24"/>
                <w:szCs w:val="24"/>
                <w:lang w:eastAsia="ru-RU"/>
              </w:rPr>
            </w:pPr>
            <w:r>
              <w:rPr>
                <w:rFonts w:eastAsia="Calibri"/>
                <w:sz w:val="24"/>
                <w:szCs w:val="24"/>
                <w:lang w:eastAsia="ru-RU"/>
              </w:rPr>
              <w:t>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p>
          <w:p>
            <w:pPr>
              <w:spacing w:after="0" w:line="240" w:lineRule="auto"/>
              <w:jc w:val="both"/>
              <w:rPr>
                <w:rFonts w:eastAsia="Calibri"/>
                <w:sz w:val="24"/>
                <w:szCs w:val="24"/>
                <w:lang w:eastAsia="ru-RU"/>
              </w:rPr>
            </w:pPr>
            <w:r>
              <w:rPr>
                <w:rFonts w:eastAsia="Calibri"/>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after="0" w:line="240" w:lineRule="auto"/>
              <w:jc w:val="both"/>
              <w:rPr>
                <w:rFonts w:eastAsia="Calibri"/>
                <w:sz w:val="24"/>
                <w:szCs w:val="24"/>
                <w:lang w:eastAsia="ru-RU"/>
              </w:rPr>
            </w:pPr>
            <w:r>
              <w:rPr>
                <w:rFonts w:eastAsia="Calibri"/>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after="0" w:line="240" w:lineRule="auto"/>
              <w:jc w:val="both"/>
              <w:rPr>
                <w:rFonts w:eastAsia="Calibri"/>
                <w:sz w:val="24"/>
                <w:szCs w:val="24"/>
                <w:lang w:eastAsia="ru-RU"/>
              </w:rPr>
            </w:pPr>
            <w:r>
              <w:rPr>
                <w:rFonts w:eastAsia="Calibri"/>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11"/>
              <w:jc w:val="both"/>
              <w:rPr>
                <w:lang w:val="uk-UA"/>
              </w:rPr>
            </w:pPr>
            <w:r>
              <w:rPr>
                <w:rFonts w:eastAsia="Calibri"/>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fldChar w:fldCharType="begin"/>
            </w:r>
            <w:r>
              <w:instrText xml:space="preserve"> HYPERLINK "https://zakon.rada.gov.ua/laws/show/1178-2022-%D0%BF?find=1&amp;text=%D0%BA%D0%B2%D0%B0%D0%BB%D1%96%D1%84" \l "n159" </w:instrText>
            </w:r>
            <w:r>
              <w:fldChar w:fldCharType="separate"/>
            </w:r>
            <w:r>
              <w:rPr>
                <w:rFonts w:eastAsia="Calibri"/>
                <w:sz w:val="24"/>
                <w:szCs w:val="24"/>
                <w:lang w:val="uk-UA"/>
              </w:rPr>
              <w:t>пунктом 44</w:t>
            </w:r>
            <w:r>
              <w:rPr>
                <w:rFonts w:eastAsia="Calibri"/>
                <w:sz w:val="24"/>
                <w:szCs w:val="24"/>
                <w:lang w:val="uk-UA"/>
              </w:rPr>
              <w:fldChar w:fldCharType="end"/>
            </w:r>
            <w:r>
              <w:rPr>
                <w:rFonts w:eastAsia="Calibri"/>
                <w:sz w:val="24"/>
                <w:szCs w:val="24"/>
                <w:lang w:val="uk-UA"/>
              </w:rPr>
              <w:t xml:space="preserve">  особливостей. </w:t>
            </w:r>
          </w:p>
          <w:p>
            <w:pPr>
              <w:spacing w:after="0" w:line="240" w:lineRule="auto"/>
              <w:jc w:val="both"/>
              <w:rPr>
                <w:rFonts w:eastAsia="Calibri"/>
                <w:sz w:val="24"/>
                <w:szCs w:val="24"/>
                <w:lang w:eastAsia="ru-RU"/>
              </w:rPr>
            </w:pPr>
            <w:r>
              <w:rPr>
                <w:rFonts w:eastAsia="Calibri"/>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after="0" w:line="240" w:lineRule="auto"/>
              <w:jc w:val="both"/>
              <w:rPr>
                <w:rFonts w:eastAsia="Calibri"/>
                <w:sz w:val="24"/>
                <w:szCs w:val="24"/>
                <w:lang w:eastAsia="ru-RU"/>
              </w:rPr>
            </w:pPr>
            <w:r>
              <w:rPr>
                <w:rFonts w:eastAsia="Calibri"/>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pPr>
              <w:spacing w:after="0" w:line="240" w:lineRule="auto"/>
              <w:jc w:val="both"/>
              <w:rPr>
                <w:rFonts w:eastAsia="Calibri"/>
                <w:sz w:val="24"/>
                <w:szCs w:val="24"/>
                <w:lang w:eastAsia="ru-RU"/>
              </w:rPr>
            </w:pPr>
            <w:r>
              <w:rPr>
                <w:rFonts w:eastAsia="Calibri"/>
                <w:sz w:val="24"/>
                <w:szCs w:val="24"/>
                <w:lang w:eastAsia="ru-RU"/>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pPr>
              <w:spacing w:after="0" w:line="240" w:lineRule="auto"/>
              <w:jc w:val="both"/>
              <w:rPr>
                <w:rFonts w:eastAsia="Calibri"/>
                <w:sz w:val="24"/>
                <w:szCs w:val="24"/>
                <w:lang w:eastAsia="ru-RU"/>
              </w:rPr>
            </w:pPr>
            <w:r>
              <w:rPr>
                <w:rFonts w:eastAsia="Calibri"/>
                <w:sz w:val="24"/>
                <w:szCs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pPr>
              <w:pStyle w:val="20"/>
              <w:jc w:val="both"/>
              <w:rPr>
                <w:rFonts w:ascii="Times New Roman" w:hAnsi="Times New Roman"/>
                <w:sz w:val="24"/>
                <w:szCs w:val="24"/>
                <w:lang w:eastAsia="ru-RU"/>
              </w:rPr>
            </w:pPr>
            <w:r>
              <w:rPr>
                <w:rFonts w:ascii="Times New Roman" w:hAnsi="Times New Roman"/>
                <w:sz w:val="24"/>
                <w:szCs w:val="24"/>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які надані у формі електронного документа через електронну систему закупівель із накладанням кваліфікованого електронного підпису. </w:t>
            </w:r>
          </w:p>
          <w:p>
            <w:pPr>
              <w:spacing w:after="0" w:line="240" w:lineRule="auto"/>
              <w:ind w:firstLine="284"/>
              <w:jc w:val="both"/>
              <w:rPr>
                <w:rFonts w:eastAsia="Calibri"/>
                <w:sz w:val="24"/>
                <w:szCs w:val="24"/>
                <w:lang w:eastAsia="ru-RU"/>
              </w:rPr>
            </w:pPr>
            <w:r>
              <w:rPr>
                <w:rFonts w:eastAsia="Calibri"/>
                <w:sz w:val="24"/>
                <w:szCs w:val="24"/>
                <w:lang w:eastAsia="ru-RU"/>
              </w:rPr>
              <w:t>Документи, що складаються безпосередньо учасником (форми довідок, листи тощо) повинні оформлюватись на фірмовому бланку Учасника за його наявності, обов’язково повинні мати дату реєстрації вихідного документу та вихідний номер документа із зазначенням ПІБ та посади уповноваженої посадової особи Учасника, завірені печаткою (у разі її наявності).  Копії документів повинні бути засвідчені Учасником у відповідності до вимог типової інструкції з діловодства в міністерствах, інших центральних та місцевих органах виконавчої влади № 55 від 17 січня 2018 року (копії документів повинні містити напис «Згідно з оригіналом», назву посади,  підпис, ініціали та прізвище уповноваженої особи учасника, дату посвідчення копії, та завірені  печаткою (у разі її наявності). У разі відсутності печатки документи завіряються підписом Учасника. На лицьовому боці у верхньому правому куті першого аркуша документа проставляється відмітка «Копія» Учасник може надавати у складі тендерної пропозиції  кольорові скановані копії документів  виготовлених з оригіналів документів.</w:t>
            </w:r>
          </w:p>
          <w:p>
            <w:pPr>
              <w:spacing w:after="0" w:line="240" w:lineRule="auto"/>
              <w:jc w:val="both"/>
              <w:rPr>
                <w:rFonts w:eastAsia="Calibri"/>
                <w:sz w:val="24"/>
                <w:szCs w:val="24"/>
                <w:lang w:eastAsia="ru-RU"/>
              </w:rPr>
            </w:pPr>
            <w:r>
              <w:rPr>
                <w:rFonts w:eastAsia="Calibri"/>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after="0" w:line="240" w:lineRule="auto"/>
              <w:jc w:val="both"/>
              <w:rPr>
                <w:rFonts w:eastAsia="Calibri"/>
                <w:sz w:val="24"/>
                <w:szCs w:val="24"/>
                <w:lang w:eastAsia="ru-RU"/>
              </w:rPr>
            </w:pPr>
            <w:r>
              <w:rPr>
                <w:rFonts w:eastAsia="Calibri"/>
                <w:sz w:val="24"/>
                <w:szCs w:val="24"/>
                <w:lang w:eastAsia="ru-RU"/>
              </w:rPr>
              <w:t>Перелік формальних помилок, затверджений наказом Мінекономіки від 15.04.2020 № 710:</w:t>
            </w:r>
          </w:p>
          <w:p>
            <w:pPr>
              <w:spacing w:after="0" w:line="240" w:lineRule="auto"/>
              <w:jc w:val="both"/>
              <w:rPr>
                <w:rFonts w:eastAsia="Calibri"/>
                <w:sz w:val="24"/>
                <w:szCs w:val="24"/>
                <w:lang w:eastAsia="ru-RU"/>
              </w:rPr>
            </w:pPr>
            <w:r>
              <w:rPr>
                <w:rFonts w:eastAsia="Calibri"/>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уживання великої літери;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уживання розділових знаків та відмінювання слів у реченні;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використання слова або мовного звороту, запозичених з іншої мови;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застосування правил переносу частини слова з рядка в рядок;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написання слів разом та/або окремо, та/або через дефіс;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after="0" w:line="240" w:lineRule="auto"/>
              <w:jc w:val="both"/>
              <w:rPr>
                <w:rFonts w:eastAsia="Calibri"/>
                <w:sz w:val="24"/>
                <w:szCs w:val="24"/>
                <w:lang w:eastAsia="ru-RU"/>
              </w:rPr>
            </w:pPr>
            <w:r>
              <w:rPr>
                <w:rFonts w:eastAsia="Calibri"/>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after="0" w:line="240" w:lineRule="auto"/>
              <w:jc w:val="both"/>
              <w:rPr>
                <w:rFonts w:eastAsia="Calibri"/>
                <w:sz w:val="24"/>
                <w:szCs w:val="24"/>
                <w:lang w:eastAsia="ru-RU"/>
              </w:rPr>
            </w:pPr>
            <w:r>
              <w:rPr>
                <w:rFonts w:eastAsia="Calibri"/>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after="0" w:line="240" w:lineRule="auto"/>
              <w:jc w:val="both"/>
              <w:rPr>
                <w:rFonts w:eastAsia="Calibri"/>
                <w:sz w:val="24"/>
                <w:szCs w:val="24"/>
                <w:lang w:eastAsia="ru-RU"/>
              </w:rPr>
            </w:pPr>
            <w:r>
              <w:rPr>
                <w:rFonts w:eastAsia="Calibri"/>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after="0" w:line="240" w:lineRule="auto"/>
              <w:jc w:val="both"/>
              <w:rPr>
                <w:rFonts w:eastAsia="Calibri"/>
                <w:sz w:val="24"/>
                <w:szCs w:val="24"/>
                <w:lang w:eastAsia="ru-RU"/>
              </w:rPr>
            </w:pPr>
            <w:r>
              <w:rPr>
                <w:rFonts w:eastAsia="Calibri"/>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after="0" w:line="240" w:lineRule="auto"/>
              <w:jc w:val="both"/>
              <w:rPr>
                <w:rFonts w:eastAsia="Calibri"/>
                <w:sz w:val="24"/>
                <w:szCs w:val="24"/>
                <w:lang w:eastAsia="ru-RU"/>
              </w:rPr>
            </w:pPr>
            <w:r>
              <w:rPr>
                <w:rFonts w:eastAsia="Calibri"/>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after="0" w:line="240" w:lineRule="auto"/>
              <w:jc w:val="both"/>
              <w:rPr>
                <w:rFonts w:eastAsia="Calibri"/>
                <w:sz w:val="24"/>
                <w:szCs w:val="24"/>
                <w:lang w:eastAsia="ru-RU"/>
              </w:rPr>
            </w:pPr>
            <w:r>
              <w:rPr>
                <w:rFonts w:eastAsia="Calibri"/>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after="0" w:line="240" w:lineRule="auto"/>
              <w:jc w:val="both"/>
              <w:rPr>
                <w:rFonts w:eastAsia="Calibri"/>
                <w:sz w:val="24"/>
                <w:szCs w:val="24"/>
                <w:lang w:eastAsia="ru-RU"/>
              </w:rPr>
            </w:pPr>
            <w:r>
              <w:rPr>
                <w:rFonts w:eastAsia="Calibri"/>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after="0" w:line="240" w:lineRule="auto"/>
              <w:jc w:val="both"/>
              <w:rPr>
                <w:rFonts w:eastAsia="Calibri"/>
                <w:sz w:val="24"/>
                <w:szCs w:val="24"/>
                <w:lang w:eastAsia="ru-RU"/>
              </w:rPr>
            </w:pPr>
            <w:r>
              <w:rPr>
                <w:rFonts w:eastAsia="Calibri"/>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after="0" w:line="240" w:lineRule="auto"/>
              <w:jc w:val="both"/>
              <w:rPr>
                <w:rFonts w:eastAsia="Calibri"/>
                <w:sz w:val="24"/>
                <w:szCs w:val="24"/>
                <w:lang w:eastAsia="ru-RU"/>
              </w:rPr>
            </w:pPr>
            <w:r>
              <w:rPr>
                <w:rFonts w:eastAsia="Calibri"/>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назви, найменування були змінені відповідно до законодавства після того, як відповідний документ (документи) був (були) поданий (подані). </w:t>
            </w:r>
          </w:p>
          <w:p>
            <w:pPr>
              <w:spacing w:after="0" w:line="240" w:lineRule="auto"/>
              <w:jc w:val="both"/>
              <w:rPr>
                <w:rFonts w:eastAsia="Calibri"/>
                <w:sz w:val="24"/>
                <w:szCs w:val="24"/>
                <w:lang w:eastAsia="ru-RU"/>
              </w:rPr>
            </w:pPr>
            <w:r>
              <w:rPr>
                <w:rFonts w:eastAsia="Calibri"/>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after="0" w:line="240" w:lineRule="auto"/>
              <w:jc w:val="both"/>
              <w:rPr>
                <w:rFonts w:eastAsia="Calibri"/>
                <w:sz w:val="24"/>
                <w:szCs w:val="24"/>
                <w:lang w:eastAsia="ru-RU"/>
              </w:rPr>
            </w:pPr>
            <w:r>
              <w:rPr>
                <w:rFonts w:eastAsia="Calibri"/>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eastAsia="Calibri"/>
                <w:sz w:val="24"/>
                <w:szCs w:val="24"/>
                <w:lang w:eastAsia="ru-RU"/>
              </w:rPr>
            </w:pPr>
            <w:r>
              <w:rPr>
                <w:rFonts w:eastAsia="Calibri"/>
                <w:sz w:val="24"/>
                <w:szCs w:val="24"/>
                <w:lang w:eastAsia="ru-RU"/>
              </w:rPr>
              <w:t>Приклади формальних помилок:</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«київська область» замість «Київська область» або «місто київ» замість «місто Київ»; </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«у складі тендерна пропозиція» замість «у складі тендерної пропозиції»;</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«тендернапропозиція» замість «тендерна пропозиція»;</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«срток поставки» замість «строк поставки»;</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«Довідка» замість «Лист», «Гарантійний лист» замість «Довідка», «Лист» замість «Гарантійний лист» тощо;</w:t>
            </w:r>
          </w:p>
          <w:p>
            <w:pPr>
              <w:widowControl w:val="0"/>
              <w:spacing w:after="0" w:line="240" w:lineRule="auto"/>
              <w:jc w:val="both"/>
              <w:rPr>
                <w:rFonts w:eastAsia="Calibri"/>
                <w:sz w:val="24"/>
                <w:szCs w:val="24"/>
                <w:lang w:eastAsia="ru-RU"/>
              </w:rPr>
            </w:pPr>
            <w:r>
              <w:rPr>
                <w:rFonts w:eastAsia="Calibri"/>
                <w:sz w:val="24"/>
                <w:szCs w:val="24"/>
                <w:lang w:eastAsia="ru-RU"/>
              </w:rPr>
              <w:t>подання документа у форматі  «PDF» замість «JPEG», «JPEG» замість «PDF», «RAR» замість «PDF», «7z» замість «PDF»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contextualSpacing/>
              <w:jc w:val="both"/>
              <w:rPr>
                <w:color w:val="000000"/>
                <w:sz w:val="24"/>
                <w:szCs w:val="24"/>
                <w:lang w:eastAsia="uk-UA"/>
              </w:rPr>
            </w:pPr>
            <w:r>
              <w:rPr>
                <w:color w:val="000000"/>
                <w:sz w:val="24"/>
                <w:szCs w:val="24"/>
                <w:lang w:eastAsia="uk-UA"/>
              </w:rPr>
              <w:t>Забезпечення тендерної пропозиції</w:t>
            </w:r>
          </w:p>
        </w:tc>
        <w:tc>
          <w:tcPr>
            <w:tcW w:w="6798" w:type="dxa"/>
            <w:shd w:val="clear" w:color="auto" w:fill="auto"/>
          </w:tcPr>
          <w:p>
            <w:pPr>
              <w:spacing w:after="0" w:line="240" w:lineRule="auto"/>
              <w:jc w:val="both"/>
              <w:rPr>
                <w:bCs/>
                <w:sz w:val="24"/>
                <w:szCs w:val="24"/>
                <w:lang w:eastAsia="ru-RU"/>
              </w:rPr>
            </w:pPr>
            <w:r>
              <w:rPr>
                <w:sz w:val="24"/>
                <w:szCs w:val="24"/>
                <w:lang w:eastAsia="zh-CN"/>
              </w:rPr>
              <w:t xml:space="preserve">Не вимагається </w:t>
            </w:r>
          </w:p>
          <w:p>
            <w:pPr>
              <w:spacing w:after="0" w:line="240" w:lineRule="auto"/>
              <w:jc w:val="both"/>
              <w:rPr>
                <w:color w:val="1F497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3</w:t>
            </w:r>
          </w:p>
        </w:tc>
        <w:tc>
          <w:tcPr>
            <w:tcW w:w="2838" w:type="dxa"/>
            <w:shd w:val="clear" w:color="auto" w:fill="auto"/>
          </w:tcPr>
          <w:p>
            <w:pPr>
              <w:pStyle w:val="20"/>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798" w:type="dxa"/>
            <w:shd w:val="clear" w:color="auto" w:fill="auto"/>
          </w:tcPr>
          <w:p>
            <w:pPr>
              <w:spacing w:after="0" w:line="240" w:lineRule="auto"/>
              <w:jc w:val="both"/>
              <w:rPr>
                <w:sz w:val="24"/>
                <w:szCs w:val="24"/>
                <w:lang w:eastAsia="ru-RU"/>
              </w:rPr>
            </w:pPr>
            <w:r>
              <w:rPr>
                <w:sz w:val="24"/>
                <w:szCs w:val="24"/>
                <w:lang w:eastAsia="ru-RU"/>
              </w:rPr>
              <w:t>Не вимагається</w:t>
            </w:r>
          </w:p>
          <w:p>
            <w:pPr>
              <w:pStyle w:val="22"/>
              <w:widowControl w:val="0"/>
              <w:shd w:val="clear" w:color="auto" w:fill="FFFFFF"/>
              <w:spacing w:before="0" w:beforeAutospacing="0" w:after="0" w:afterAutospacing="0"/>
              <w:contextualSpacing/>
              <w:jc w:val="both"/>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w:t>
            </w:r>
          </w:p>
        </w:tc>
        <w:tc>
          <w:tcPr>
            <w:tcW w:w="2838" w:type="dxa"/>
            <w:shd w:val="clear" w:color="auto" w:fill="auto"/>
          </w:tcPr>
          <w:p>
            <w:pPr>
              <w:pStyle w:val="20"/>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pPr>
              <w:spacing w:after="0" w:line="240" w:lineRule="auto"/>
              <w:jc w:val="both"/>
              <w:rPr>
                <w:sz w:val="24"/>
                <w:szCs w:val="24"/>
                <w:lang w:eastAsia="ru-RU"/>
              </w:rPr>
            </w:pPr>
            <w:r>
              <w:rPr>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numPr>
                <w:ilvl w:val="0"/>
                <w:numId w:val="5"/>
              </w:numPr>
              <w:spacing w:after="0" w:line="240" w:lineRule="auto"/>
              <w:jc w:val="both"/>
              <w:textAlignment w:val="baseline"/>
              <w:rPr>
                <w:color w:val="000000"/>
                <w:sz w:val="24"/>
                <w:szCs w:val="24"/>
                <w:lang w:eastAsia="ru-RU"/>
              </w:rPr>
            </w:pPr>
            <w:r>
              <w:rPr>
                <w:color w:val="000000"/>
                <w:sz w:val="24"/>
                <w:szCs w:val="24"/>
                <w:lang w:eastAsia="ru-RU"/>
              </w:rPr>
              <w:t>відхилити таку вимогу, не втрачаючи при цьому наданого ним забезпечення тендерної пропозиції;</w:t>
            </w:r>
          </w:p>
          <w:p>
            <w:pPr>
              <w:numPr>
                <w:ilvl w:val="0"/>
                <w:numId w:val="5"/>
              </w:numPr>
              <w:spacing w:after="0" w:line="240" w:lineRule="auto"/>
              <w:jc w:val="both"/>
              <w:textAlignment w:val="baseline"/>
              <w:rPr>
                <w:color w:val="000000"/>
                <w:sz w:val="24"/>
                <w:szCs w:val="24"/>
                <w:lang w:eastAsia="ru-RU"/>
              </w:rPr>
            </w:pPr>
            <w:r>
              <w:rPr>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pPr>
              <w:widowControl w:val="0"/>
              <w:spacing w:after="0" w:line="240" w:lineRule="auto"/>
              <w:ind w:right="113"/>
              <w:contextualSpacing/>
              <w:jc w:val="both"/>
              <w:rPr>
                <w:sz w:val="24"/>
                <w:szCs w:val="24"/>
                <w:lang w:eastAsia="uk-UA"/>
              </w:rPr>
            </w:pPr>
            <w:r>
              <w:rPr>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5</w:t>
            </w:r>
          </w:p>
        </w:tc>
        <w:tc>
          <w:tcPr>
            <w:tcW w:w="2838" w:type="dxa"/>
            <w:shd w:val="clear" w:color="auto" w:fill="auto"/>
          </w:tcPr>
          <w:p>
            <w:pPr>
              <w:pStyle w:val="11"/>
              <w:rPr>
                <w:lang w:val="uk-UA"/>
              </w:rPr>
            </w:pPr>
            <w:r>
              <w:rPr>
                <w:color w:val="000000"/>
                <w:sz w:val="24"/>
                <w:szCs w:val="24"/>
              </w:rPr>
              <w:t>Кваліфікаційні критерії до учасників та вимоги, установлені </w:t>
            </w:r>
            <w:r>
              <w:rPr>
                <w:lang w:val="uk-UA"/>
              </w:rPr>
              <w:t xml:space="preserve"> п.44 Оособливостей</w:t>
            </w:r>
          </w:p>
          <w:p>
            <w:pPr>
              <w:pStyle w:val="20"/>
              <w:widowControl w:val="0"/>
              <w:ind w:right="113"/>
              <w:contextualSpacing/>
              <w:rPr>
                <w:rFonts w:ascii="Times New Roman" w:hAnsi="Times New Roman"/>
                <w:sz w:val="24"/>
                <w:szCs w:val="24"/>
                <w:lang w:eastAsia="uk-UA"/>
              </w:rPr>
            </w:pPr>
          </w:p>
        </w:tc>
        <w:tc>
          <w:tcPr>
            <w:tcW w:w="6798" w:type="dxa"/>
            <w:shd w:val="clear" w:color="auto" w:fill="auto"/>
          </w:tcPr>
          <w:p>
            <w:pPr>
              <w:spacing w:after="0" w:line="240" w:lineRule="auto"/>
              <w:jc w:val="both"/>
              <w:rPr>
                <w:sz w:val="24"/>
                <w:szCs w:val="24"/>
                <w:lang w:eastAsia="ru-RU"/>
              </w:rPr>
            </w:pPr>
            <w:r>
              <w:rPr>
                <w:color w:val="000000"/>
                <w:sz w:val="24"/>
                <w:szCs w:val="24"/>
                <w:lang w:eastAsia="ru-RU"/>
              </w:rPr>
              <w:t xml:space="preserve">Кваліфікаційні критерії та інформація про спосіб їх </w:t>
            </w:r>
            <w:r>
              <w:rPr>
                <w:color w:val="000000"/>
                <w:sz w:val="24"/>
                <w:szCs w:val="24"/>
              </w:rPr>
              <w:t>підтвердження викладені у Додатку № 1 до тендерної документації. Підстави для відмови в участі у процедурі закупівлі встановлені п.44 Оособливостей та спосіб підтвердження відповідності учасників викладений у Додатку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6</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798" w:type="dxa"/>
            <w:shd w:val="clear" w:color="auto" w:fill="auto"/>
          </w:tcPr>
          <w:p>
            <w:pPr>
              <w:widowControl w:val="0"/>
              <w:spacing w:after="0" w:line="240" w:lineRule="auto"/>
              <w:ind w:right="113" w:firstLine="317"/>
              <w:contextualSpacing/>
              <w:jc w:val="both"/>
              <w:rPr>
                <w:sz w:val="24"/>
                <w:szCs w:val="24"/>
                <w:lang w:eastAsia="uk-UA"/>
              </w:rPr>
            </w:pPr>
            <w:r>
              <w:rPr>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7</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Інформація про субпідрядника (у випадку закупівлі робіт)</w:t>
            </w:r>
          </w:p>
        </w:tc>
        <w:tc>
          <w:tcPr>
            <w:tcW w:w="6798" w:type="dxa"/>
            <w:shd w:val="clear" w:color="auto" w:fill="auto"/>
          </w:tcPr>
          <w:p>
            <w:pPr>
              <w:widowControl w:val="0"/>
              <w:spacing w:after="0" w:line="240" w:lineRule="auto"/>
              <w:ind w:right="113" w:firstLine="317"/>
              <w:contextualSpacing/>
              <w:jc w:val="both"/>
              <w:rPr>
                <w:sz w:val="24"/>
                <w:szCs w:val="24"/>
                <w:lang w:eastAsia="uk-UA"/>
              </w:rPr>
            </w:pPr>
            <w:r>
              <w:rPr>
                <w:sz w:val="24"/>
                <w:szCs w:val="24"/>
                <w:lang w:eastAsia="uk-UA"/>
              </w:rPr>
              <w:t>Цими торгами інформацію про субпідрядника  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8</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798" w:type="dxa"/>
            <w:shd w:val="clear" w:color="auto" w:fill="auto"/>
          </w:tcPr>
          <w:p>
            <w:pPr>
              <w:widowControl w:val="0"/>
              <w:spacing w:after="0" w:line="240" w:lineRule="auto"/>
              <w:ind w:right="113"/>
              <w:contextualSpacing/>
              <w:jc w:val="both"/>
              <w:rPr>
                <w:sz w:val="24"/>
                <w:szCs w:val="24"/>
              </w:rPr>
            </w:pPr>
            <w:r>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9</w:t>
            </w:r>
          </w:p>
        </w:tc>
        <w:tc>
          <w:tcPr>
            <w:tcW w:w="2838" w:type="dxa"/>
            <w:shd w:val="clear" w:color="auto" w:fill="auto"/>
          </w:tcPr>
          <w:p>
            <w:pPr>
              <w:spacing w:after="0" w:line="240" w:lineRule="auto"/>
              <w:rPr>
                <w:sz w:val="24"/>
                <w:szCs w:val="24"/>
                <w:lang w:eastAsia="ru-RU"/>
              </w:rPr>
            </w:pPr>
            <w:r>
              <w:rPr>
                <w:color w:val="000000"/>
                <w:sz w:val="24"/>
                <w:szCs w:val="24"/>
                <w:lang w:eastAsia="ru-RU"/>
              </w:rPr>
              <w:t>Ступень локалізації виробництва</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Не застосовується </w:t>
            </w:r>
          </w:p>
          <w:p>
            <w:pPr>
              <w:spacing w:after="0" w:line="240" w:lineRule="auto"/>
              <w:jc w:val="both"/>
              <w:rPr>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0152" w:type="dxa"/>
            <w:gridSpan w:val="3"/>
            <w:shd w:val="clear" w:color="auto" w:fill="auto"/>
          </w:tcPr>
          <w:p>
            <w:pPr>
              <w:widowControl w:val="0"/>
              <w:spacing w:after="0" w:line="240" w:lineRule="auto"/>
              <w:ind w:left="34" w:right="113" w:hanging="23"/>
              <w:contextualSpacing/>
              <w:jc w:val="center"/>
              <w:rPr>
                <w:b/>
                <w:sz w:val="24"/>
                <w:szCs w:val="24"/>
              </w:rPr>
            </w:pPr>
          </w:p>
          <w:p>
            <w:pPr>
              <w:widowControl w:val="0"/>
              <w:spacing w:after="0" w:line="240" w:lineRule="auto"/>
              <w:ind w:left="34" w:right="113" w:hanging="23"/>
              <w:contextualSpacing/>
              <w:jc w:val="center"/>
              <w:rPr>
                <w:b/>
                <w:sz w:val="24"/>
                <w:szCs w:val="24"/>
              </w:rPr>
            </w:pPr>
            <w:r>
              <w:rPr>
                <w:b/>
                <w:sz w:val="24"/>
                <w:szCs w:val="24"/>
              </w:rPr>
              <w:t>IV.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pStyle w:val="20"/>
              <w:widowControl w:val="0"/>
              <w:ind w:right="113"/>
              <w:contextualSpacing/>
              <w:jc w:val="both"/>
              <w:rPr>
                <w:rFonts w:ascii="Times New Roman" w:hAnsi="Times New Roman"/>
                <w:sz w:val="24"/>
                <w:szCs w:val="24"/>
                <w:lang w:eastAsia="uk-UA"/>
              </w:rPr>
            </w:pPr>
            <w:r>
              <w:rPr>
                <w:rStyle w:val="21"/>
                <w:rFonts w:ascii="Times New Roman" w:hAnsi="Times New Roman"/>
                <w:sz w:val="24"/>
                <w:szCs w:val="24"/>
              </w:rPr>
              <w:t>Кінцевий строк подання тендерної пропозиції</w:t>
            </w:r>
          </w:p>
        </w:tc>
        <w:tc>
          <w:tcPr>
            <w:tcW w:w="6798" w:type="dxa"/>
            <w:shd w:val="clear" w:color="auto" w:fill="auto"/>
          </w:tcPr>
          <w:p>
            <w:pPr>
              <w:spacing w:after="0" w:line="240" w:lineRule="auto"/>
              <w:jc w:val="both"/>
              <w:rPr>
                <w:color w:val="000000"/>
                <w:sz w:val="24"/>
                <w:szCs w:val="24"/>
                <w:lang w:eastAsia="ru-RU"/>
              </w:rPr>
            </w:pPr>
            <w:r>
              <w:rPr>
                <w:color w:val="000000"/>
                <w:sz w:val="24"/>
                <w:szCs w:val="24"/>
                <w:lang w:eastAsia="ru-RU"/>
              </w:rPr>
              <w:t xml:space="preserve">Кінцевий строк подання тендерних пропозицій: 10 година 00 хвилин </w:t>
            </w:r>
            <w:r>
              <w:rPr>
                <w:rFonts w:hint="default"/>
                <w:color w:val="000000"/>
                <w:sz w:val="24"/>
                <w:szCs w:val="24"/>
                <w:lang w:val="uk-UA" w:eastAsia="ru-RU"/>
              </w:rPr>
              <w:t>27.05.</w:t>
            </w:r>
            <w:r>
              <w:rPr>
                <w:color w:val="000000"/>
                <w:sz w:val="24"/>
                <w:szCs w:val="24"/>
                <w:lang w:eastAsia="ru-RU"/>
              </w:rPr>
              <w:t xml:space="preserve"> 2023 року.</w:t>
            </w:r>
          </w:p>
          <w:p>
            <w:pPr>
              <w:widowControl w:val="0"/>
              <w:spacing w:after="0" w:line="240" w:lineRule="auto"/>
              <w:ind w:left="34" w:right="113" w:firstLine="283"/>
              <w:contextualSpacing/>
              <w:jc w:val="both"/>
              <w:rPr>
                <w:sz w:val="24"/>
                <w:szCs w:val="24"/>
              </w:rPr>
            </w:pPr>
            <w:r>
              <w:rPr>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ind w:right="113"/>
              <w:contextualSpacing/>
              <w:rPr>
                <w:sz w:val="24"/>
                <w:szCs w:val="24"/>
              </w:rPr>
            </w:pPr>
            <w:r>
              <w:rPr>
                <w:sz w:val="24"/>
                <w:szCs w:val="24"/>
              </w:rPr>
              <w:t>Дата та час розкриття тендерної пропозиції</w:t>
            </w:r>
          </w:p>
        </w:tc>
        <w:tc>
          <w:tcPr>
            <w:tcW w:w="6798" w:type="dxa"/>
            <w:shd w:val="clear" w:color="auto" w:fill="auto"/>
          </w:tcPr>
          <w:p>
            <w:pPr>
              <w:spacing w:after="0" w:line="240" w:lineRule="auto"/>
              <w:jc w:val="both"/>
              <w:rPr>
                <w:color w:val="000000"/>
                <w:sz w:val="24"/>
                <w:szCs w:val="24"/>
                <w:lang w:eastAsia="ru-RU"/>
              </w:rPr>
            </w:pPr>
            <w:r>
              <w:rPr>
                <w:color w:val="000000"/>
                <w:sz w:val="24"/>
                <w:szCs w:val="24"/>
                <w:lang w:eastAsia="ru-RU"/>
              </w:rPr>
              <w:t>Відкриті торги проводяться без застосування електронного аукціону.</w:t>
            </w:r>
          </w:p>
          <w:p>
            <w:pPr>
              <w:spacing w:after="0" w:line="240" w:lineRule="auto"/>
              <w:jc w:val="both"/>
              <w:rPr>
                <w:color w:val="000000"/>
                <w:sz w:val="24"/>
                <w:szCs w:val="24"/>
                <w:lang w:eastAsia="ru-RU"/>
              </w:rPr>
            </w:pPr>
            <w:r>
              <w:rPr>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11"/>
              <w:jc w:val="both"/>
              <w:rPr>
                <w:color w:val="000000"/>
                <w:sz w:val="24"/>
                <w:szCs w:val="24"/>
                <w:lang w:val="uk-UA"/>
              </w:rPr>
            </w:pPr>
            <w:r>
              <w:rPr>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after="0" w:line="240" w:lineRule="auto"/>
              <w:jc w:val="both"/>
              <w:rPr>
                <w:color w:val="000000"/>
                <w:sz w:val="24"/>
                <w:szCs w:val="24"/>
                <w:lang w:eastAsia="ru-RU"/>
              </w:rPr>
            </w:pPr>
            <w:r>
              <w:rPr>
                <w:color w:val="000000"/>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spacing w:after="0" w:line="240" w:lineRule="auto"/>
              <w:jc w:val="both"/>
              <w:rPr>
                <w:color w:val="000000"/>
                <w:sz w:val="24"/>
                <w:szCs w:val="24"/>
                <w:lang w:eastAsia="ru-RU"/>
              </w:rPr>
            </w:pPr>
            <w:r>
              <w:rPr>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after="0" w:line="240" w:lineRule="auto"/>
              <w:jc w:val="both"/>
              <w:rPr>
                <w:color w:val="000000"/>
                <w:sz w:val="24"/>
                <w:szCs w:val="24"/>
                <w:lang w:eastAsia="ru-RU"/>
              </w:rPr>
            </w:pPr>
            <w:r>
              <w:rPr>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0152" w:type="dxa"/>
            <w:gridSpan w:val="3"/>
            <w:shd w:val="clear" w:color="auto" w:fill="auto"/>
          </w:tcPr>
          <w:p>
            <w:pPr>
              <w:widowControl w:val="0"/>
              <w:spacing w:after="0" w:line="240" w:lineRule="auto"/>
              <w:ind w:right="113"/>
              <w:contextualSpacing/>
              <w:jc w:val="center"/>
              <w:rPr>
                <w:b/>
                <w:sz w:val="24"/>
                <w:szCs w:val="24"/>
              </w:rPr>
            </w:pPr>
          </w:p>
          <w:p>
            <w:pPr>
              <w:widowControl w:val="0"/>
              <w:spacing w:after="0" w:line="240" w:lineRule="auto"/>
              <w:ind w:right="113"/>
              <w:contextualSpacing/>
              <w:jc w:val="center"/>
              <w:rPr>
                <w:b/>
                <w:sz w:val="24"/>
                <w:szCs w:val="24"/>
              </w:rPr>
            </w:pPr>
            <w:r>
              <w:rPr>
                <w:b/>
                <w:sz w:val="24"/>
                <w:szCs w:val="24"/>
              </w:rPr>
              <w:t>V.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rPr>
                <w:rFonts w:eastAsia="Calibri"/>
                <w:sz w:val="24"/>
                <w:szCs w:val="24"/>
                <w:lang w:eastAsia="ru-RU"/>
              </w:rPr>
            </w:pPr>
            <w:r>
              <w:rPr>
                <w:rFonts w:eastAsia="Calibri"/>
                <w:sz w:val="24"/>
                <w:szCs w:val="24"/>
                <w:lang w:eastAsia="ru-RU"/>
              </w:rPr>
              <w:t xml:space="preserve">Перелік критеріїв та методика оцінки тендерної пропозиції із зазначенням питомої ваги критерію </w:t>
            </w:r>
          </w:p>
          <w:p>
            <w:pPr>
              <w:widowControl w:val="0"/>
              <w:spacing w:after="0" w:line="240" w:lineRule="auto"/>
              <w:ind w:right="113"/>
              <w:contextualSpacing/>
              <w:rPr>
                <w:rFonts w:eastAsia="Calibri"/>
                <w:sz w:val="24"/>
                <w:szCs w:val="24"/>
                <w:lang w:eastAsia="ru-RU"/>
              </w:rPr>
            </w:pPr>
          </w:p>
        </w:tc>
        <w:tc>
          <w:tcPr>
            <w:tcW w:w="6798" w:type="dxa"/>
            <w:shd w:val="clear" w:color="auto" w:fill="auto"/>
          </w:tcPr>
          <w:p>
            <w:pPr>
              <w:pStyle w:val="20"/>
              <w:rPr>
                <w:rFonts w:ascii="Times New Roman" w:hAnsi="Times New Roman"/>
                <w:sz w:val="24"/>
                <w:szCs w:val="24"/>
                <w:lang w:eastAsia="ru-RU"/>
              </w:rPr>
            </w:pPr>
            <w:r>
              <w:rPr>
                <w:rFonts w:ascii="Times New Roman" w:hAnsi="Times New Roman"/>
                <w:sz w:val="24"/>
                <w:szCs w:val="24"/>
                <w:lang w:eastAsia="ru-RU"/>
              </w:rPr>
              <w:t>Єдиний критерій оцінки – Ціна – 100%.</w:t>
            </w:r>
          </w:p>
          <w:p>
            <w:pPr>
              <w:pStyle w:val="20"/>
              <w:rPr>
                <w:rFonts w:ascii="Times New Roman" w:hAnsi="Times New Roman"/>
                <w:sz w:val="24"/>
                <w:szCs w:val="24"/>
                <w:lang w:eastAsia="ru-RU"/>
              </w:rPr>
            </w:pPr>
            <w:r>
              <w:rPr>
                <w:rFonts w:ascii="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spacing w:after="0" w:line="240" w:lineRule="auto"/>
              <w:ind w:firstLine="567"/>
              <w:jc w:val="both"/>
              <w:rPr>
                <w:rFonts w:eastAsia="Calibri"/>
                <w:sz w:val="24"/>
                <w:szCs w:val="24"/>
                <w:lang w:eastAsia="ru-RU"/>
              </w:rPr>
            </w:pPr>
            <w:r>
              <w:rPr>
                <w:rFonts w:eastAsia="Calibri"/>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after="0" w:line="240" w:lineRule="auto"/>
              <w:ind w:firstLine="567"/>
              <w:jc w:val="both"/>
              <w:rPr>
                <w:rFonts w:eastAsia="Calibri"/>
                <w:sz w:val="24"/>
                <w:szCs w:val="24"/>
                <w:lang w:eastAsia="ru-RU"/>
              </w:rPr>
            </w:pPr>
            <w:r>
              <w:rPr>
                <w:rFonts w:eastAsia="Calibri"/>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Інша інформація</w:t>
            </w:r>
          </w:p>
        </w:tc>
        <w:tc>
          <w:tcPr>
            <w:tcW w:w="6798" w:type="dxa"/>
            <w:shd w:val="clear" w:color="auto" w:fill="auto"/>
          </w:tcPr>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У разі ненадання учасником підтвердження зміни податкової адреси на іншу територію України видане уповноваженим на це органом або у випадку якщо учасник зареєстрований на тимчасово окупованій території,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22"/>
              <w:shd w:val="clear" w:color="auto" w:fill="FFFFFF"/>
              <w:spacing w:before="0" w:beforeAutospacing="0" w:after="0" w:afterAutospacing="0"/>
              <w:ind w:firstLine="277"/>
              <w:jc w:val="both"/>
              <w:rPr>
                <w:rFonts w:eastAsia="Times New Roman"/>
                <w:color w:val="000000"/>
                <w:lang w:eastAsia="ru-RU"/>
              </w:rPr>
            </w:pPr>
            <w:r>
              <w:rPr>
                <w:rFonts w:eastAsia="Times New Roman"/>
                <w:color w:val="00000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22"/>
              <w:shd w:val="clear" w:color="auto" w:fill="FFFFFF"/>
              <w:spacing w:before="0" w:beforeAutospacing="0" w:after="0" w:afterAutospacing="0"/>
              <w:ind w:firstLine="277"/>
              <w:jc w:val="both"/>
              <w:rPr>
                <w:rFonts w:eastAsia="Times New Roman"/>
                <w:color w:val="000000"/>
                <w:lang w:eastAsia="ru-RU"/>
              </w:rPr>
            </w:pPr>
            <w:bookmarkStart w:id="0" w:name="n327"/>
            <w:bookmarkEnd w:id="0"/>
            <w:r>
              <w:rPr>
                <w:rFonts w:eastAsia="Times New Roman"/>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instrText xml:space="preserve"> HYPERLINK "https://zakon.rada.gov.ua/laws/show/1178-2022-%D0%BF" \l "n159" </w:instrText>
            </w:r>
            <w:r>
              <w:fldChar w:fldCharType="separate"/>
            </w:r>
            <w:r>
              <w:rPr>
                <w:rFonts w:eastAsia="Times New Roman"/>
                <w:color w:val="000000"/>
                <w:lang w:eastAsia="ru-RU"/>
              </w:rPr>
              <w:t>пунктом 44</w:t>
            </w:r>
            <w:r>
              <w:rPr>
                <w:rFonts w:eastAsia="Times New Roman"/>
                <w:color w:val="000000"/>
                <w:lang w:eastAsia="ru-RU"/>
              </w:rPr>
              <w:fldChar w:fldCharType="end"/>
            </w:r>
            <w:r>
              <w:rPr>
                <w:rFonts w:eastAsia="Times New Roman"/>
                <w:color w:val="000000"/>
                <w:lang w:eastAsia="ru-RU"/>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Вiдсутнiсть буль-яких запитань або уточнень стосовно змiсту та викладення вимог тендерної документацiї з боку учасникiв процедури закупiвлi, означатиме, що учасники процедури закупiвлi, які беруть участь в цих торгах, повнiстю усвiдомлюють змiст цiєї тендерної документацiї та вимоги, викладенi Замовником при пiдготовцi цiєї закупiвлi.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3</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spacing w:after="0" w:line="240" w:lineRule="auto"/>
              <w:jc w:val="both"/>
              <w:rPr>
                <w:sz w:val="24"/>
                <w:szCs w:val="24"/>
                <w:lang w:eastAsia="ru-RU"/>
              </w:rPr>
            </w:pPr>
            <w:r>
              <w:rPr>
                <w:color w:val="000000"/>
                <w:sz w:val="24"/>
                <w:szCs w:val="24"/>
                <w:lang w:eastAsia="ru-RU"/>
              </w:rPr>
              <w:t>1) учасник процедури закупівлі:</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п.  39 Особливостей; </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не надав забезпечення тендерної пропозиції, якщо таке забезпечення вимагалося замовником;</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6"/>
              </w:numPr>
              <w:spacing w:after="0" w:line="240" w:lineRule="auto"/>
              <w:jc w:val="both"/>
              <w:textAlignment w:val="baseline"/>
              <w:rPr>
                <w:sz w:val="24"/>
                <w:szCs w:val="24"/>
                <w:lang w:eastAsia="ru-RU"/>
              </w:rPr>
            </w:pPr>
            <w:r>
              <w:rPr>
                <w:color w:val="000000"/>
                <w:sz w:val="24"/>
                <w:szCs w:val="24"/>
                <w:lang w:eastAsia="ru-RU"/>
              </w:rPr>
              <w:t xml:space="preserve">не наддав обґрунтування аномально низької ціни тендерної пропозиції протягом строку, визначеного в </w:t>
            </w:r>
            <w:r>
              <w:rPr>
                <w:sz w:val="24"/>
                <w:szCs w:val="24"/>
                <w:lang w:eastAsia="ru-RU"/>
              </w:rPr>
              <w:t>пункті 38  Особливостей;</w:t>
            </w:r>
          </w:p>
          <w:p>
            <w:pPr>
              <w:numPr>
                <w:ilvl w:val="0"/>
                <w:numId w:val="6"/>
              </w:numPr>
              <w:spacing w:after="0" w:line="240" w:lineRule="auto"/>
              <w:jc w:val="both"/>
              <w:textAlignment w:val="baseline"/>
              <w:rPr>
                <w:sz w:val="24"/>
                <w:szCs w:val="24"/>
                <w:lang w:eastAsia="ru-RU"/>
              </w:rPr>
            </w:pPr>
            <w:r>
              <w:rPr>
                <w:sz w:val="24"/>
                <w:szCs w:val="24"/>
                <w:lang w:eastAsia="ru-RU"/>
              </w:rP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"https://zakon.rada.gov.ua/laws/show/1178-2022-%D0%BF?find=1&amp;text=%D0%B4%D0%BE%D1%81%D1%82%D0%BE%D0%B2" \l "n291" </w:instrText>
            </w:r>
            <w:r>
              <w:fldChar w:fldCharType="separate"/>
            </w:r>
            <w:r>
              <w:rPr>
                <w:rStyle w:val="16"/>
                <w:color w:val="auto"/>
                <w:sz w:val="24"/>
                <w:szCs w:val="24"/>
                <w:lang w:eastAsia="ru-RU"/>
              </w:rPr>
              <w:t>абзацу другого</w:t>
            </w:r>
            <w:r>
              <w:rPr>
                <w:rStyle w:val="16"/>
                <w:color w:val="auto"/>
                <w:sz w:val="24"/>
                <w:szCs w:val="24"/>
                <w:lang w:eastAsia="ru-RU"/>
              </w:rPr>
              <w:fldChar w:fldCharType="end"/>
            </w:r>
            <w:r>
              <w:rPr>
                <w:sz w:val="24"/>
                <w:szCs w:val="24"/>
                <w:lang w:eastAsia="ru-RU"/>
              </w:rPr>
              <w:t> пункту 36  особливостей ;</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after="0" w:line="240" w:lineRule="auto"/>
              <w:jc w:val="both"/>
              <w:rPr>
                <w:sz w:val="24"/>
                <w:szCs w:val="24"/>
                <w:lang w:eastAsia="ru-RU"/>
              </w:rPr>
            </w:pPr>
            <w:r>
              <w:rPr>
                <w:color w:val="000000"/>
                <w:sz w:val="24"/>
                <w:szCs w:val="24"/>
                <w:lang w:eastAsia="ru-RU"/>
              </w:rPr>
              <w:t>2) тендерна пропозиція:</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є такою, строк дії якої закінчився;</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sz w:val="24"/>
                <w:szCs w:val="24"/>
                <w:lang w:eastAsia="ru-RU"/>
              </w:rPr>
            </w:pPr>
            <w:r>
              <w:rPr>
                <w:color w:val="000000"/>
                <w:sz w:val="24"/>
                <w:szCs w:val="24"/>
                <w:lang w:eastAsia="ru-RU"/>
              </w:rPr>
              <w:t>3) переможець процедури закупівлі:</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"https://zakon.rada.gov.ua/laws/show/1178-2022-%D0%BF?find=1&amp;text=%D0%B4%D0%BE%D1%81%D1%82%D0%BE%D0%B2" \l "n159" </w:instrText>
            </w:r>
            <w:r>
              <w:fldChar w:fldCharType="separate"/>
            </w:r>
            <w:r>
              <w:rPr>
                <w:rStyle w:val="16"/>
                <w:color w:val="auto"/>
                <w:sz w:val="24"/>
                <w:szCs w:val="24"/>
                <w:lang w:eastAsia="ru-RU"/>
              </w:rPr>
              <w:t>пунктом 44</w:t>
            </w:r>
            <w:r>
              <w:rPr>
                <w:rStyle w:val="16"/>
                <w:color w:val="auto"/>
                <w:sz w:val="24"/>
                <w:szCs w:val="24"/>
                <w:lang w:eastAsia="ru-RU"/>
              </w:rPr>
              <w:fldChar w:fldCharType="end"/>
            </w:r>
            <w:r>
              <w:rPr>
                <w:color w:val="000000"/>
                <w:sz w:val="24"/>
                <w:szCs w:val="24"/>
                <w:lang w:eastAsia="ru-RU"/>
              </w:rPr>
              <w:t>  особливостей;</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не наддав копію ліцензії або документа дозвільного характеру (у разі їх наявності) відповідно до частини другої статті 41 Закону;</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не наддав забезпечення виконання договору про закупівлю, якщо таке забезпечення вимагалося замовником;</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 xml:space="preserve">наддав недостовірну інформацію, що є суттєвою для визначення результатів процедури закупівлі, яку замовником виявлено згідно </w:t>
            </w:r>
            <w:r>
              <w:rPr>
                <w:sz w:val="24"/>
                <w:szCs w:val="24"/>
                <w:lang w:eastAsia="ru-RU"/>
              </w:rPr>
              <w:t>з </w:t>
            </w:r>
            <w:r>
              <w:fldChar w:fldCharType="begin"/>
            </w:r>
            <w:r>
              <w:instrText xml:space="preserve"> HYPERLINK "https://zakon.rada.gov.ua/laws/show/1178-2022-%D0%BF?find=1&amp;text=%D0%B4%D0%BE%D1%81%D1%82%D0%BE%D0%B2" \l "n326" </w:instrText>
            </w:r>
            <w:r>
              <w:fldChar w:fldCharType="separate"/>
            </w:r>
            <w:r>
              <w:rPr>
                <w:rStyle w:val="16"/>
                <w:color w:val="auto"/>
                <w:sz w:val="24"/>
                <w:szCs w:val="24"/>
                <w:lang w:eastAsia="ru-RU"/>
              </w:rPr>
              <w:t>абзацом другим</w:t>
            </w:r>
            <w:r>
              <w:rPr>
                <w:rStyle w:val="16"/>
                <w:color w:val="auto"/>
                <w:sz w:val="24"/>
                <w:szCs w:val="24"/>
                <w:lang w:eastAsia="ru-RU"/>
              </w:rPr>
              <w:fldChar w:fldCharType="end"/>
            </w:r>
            <w:r>
              <w:rPr>
                <w:color w:val="000000"/>
                <w:sz w:val="24"/>
                <w:szCs w:val="24"/>
                <w:lang w:eastAsia="ru-RU"/>
              </w:rPr>
              <w:t> пункту 39  особливостей</w:t>
            </w:r>
            <w:r>
              <w:rPr>
                <w:color w:val="000000"/>
                <w:sz w:val="24"/>
                <w:szCs w:val="24"/>
                <w:lang w:val="ru-RU" w:eastAsia="ru-RU"/>
              </w:rPr>
              <w:t>;</w:t>
            </w:r>
          </w:p>
          <w:p>
            <w:pPr>
              <w:spacing w:after="0" w:line="240" w:lineRule="auto"/>
              <w:jc w:val="both"/>
              <w:textAlignment w:val="baseline"/>
              <w:rPr>
                <w:color w:val="000000"/>
                <w:sz w:val="24"/>
                <w:szCs w:val="24"/>
                <w:lang w:eastAsia="ru-RU"/>
              </w:rPr>
            </w:pPr>
            <w:r>
              <w:rPr>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pPr>
              <w:numPr>
                <w:ilvl w:val="0"/>
                <w:numId w:val="9"/>
              </w:numPr>
              <w:spacing w:after="0" w:line="240" w:lineRule="auto"/>
              <w:jc w:val="both"/>
              <w:textAlignment w:val="baseline"/>
              <w:rPr>
                <w:color w:val="000000"/>
                <w:sz w:val="24"/>
                <w:szCs w:val="24"/>
                <w:lang w:eastAsia="ru-RU"/>
              </w:rPr>
            </w:pPr>
            <w:r>
              <w:rPr>
                <w:color w:val="000000"/>
                <w:sz w:val="24"/>
                <w:szCs w:val="24"/>
                <w:lang w:eastAsia="ru-RU"/>
              </w:rPr>
              <w:t>учасник процедури закупівлі наддав неналежне обґрунтування щодо ціни або вартості відповідних товарів, робіт чи послуг тендерної пропозиції, що є аномально низькою;</w:t>
            </w:r>
          </w:p>
          <w:p>
            <w:pPr>
              <w:numPr>
                <w:ilvl w:val="0"/>
                <w:numId w:val="9"/>
              </w:numPr>
              <w:spacing w:after="0" w:line="240" w:lineRule="auto"/>
              <w:jc w:val="both"/>
              <w:textAlignment w:val="baseline"/>
              <w:rPr>
                <w:color w:val="000000"/>
                <w:sz w:val="24"/>
                <w:szCs w:val="24"/>
                <w:lang w:eastAsia="ru-RU"/>
              </w:rPr>
            </w:pPr>
            <w:r>
              <w:rPr>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jc w:val="both"/>
              <w:rPr>
                <w:sz w:val="24"/>
                <w:szCs w:val="24"/>
                <w:lang w:eastAsia="ru-RU"/>
              </w:rPr>
            </w:pPr>
            <w:r>
              <w:rPr>
                <w:color w:val="000000"/>
                <w:sz w:val="24"/>
                <w:szCs w:val="24"/>
                <w:lang w:eastAsia="ru-RU"/>
              </w:rPr>
              <w:t xml:space="preserve">Замовник зобов’язаний відхилити тендерну пропозицію переможця процедури закупівлі в разі, коли наявні підстави, визначені </w:t>
            </w:r>
            <w:r>
              <w:rPr>
                <w:color w:val="000000"/>
                <w:sz w:val="24"/>
                <w:szCs w:val="24"/>
                <w:lang w:val="ru-RU" w:eastAsia="ru-RU"/>
              </w:rPr>
              <w:t>п</w:t>
            </w:r>
            <w:r>
              <w:rPr>
                <w:color w:val="000000"/>
                <w:sz w:val="24"/>
                <w:szCs w:val="24"/>
                <w:lang w:eastAsia="ru-RU"/>
              </w:rPr>
              <w:t>.44 Особливостей.</w:t>
            </w:r>
          </w:p>
          <w:p>
            <w:pPr>
              <w:widowControl w:val="0"/>
              <w:spacing w:after="0" w:line="240" w:lineRule="auto"/>
              <w:ind w:left="34" w:firstLine="425"/>
              <w:contextualSpacing/>
              <w:jc w:val="both"/>
              <w:rPr>
                <w:sz w:val="24"/>
                <w:szCs w:val="24"/>
              </w:rPr>
            </w:pPr>
            <w:r>
              <w:rPr>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152" w:type="dxa"/>
            <w:gridSpan w:val="3"/>
            <w:shd w:val="clear" w:color="auto" w:fill="auto"/>
            <w:vAlign w:val="center"/>
          </w:tcPr>
          <w:p>
            <w:pPr>
              <w:widowControl w:val="0"/>
              <w:spacing w:after="0" w:line="240" w:lineRule="auto"/>
              <w:contextualSpacing/>
              <w:rPr>
                <w:b/>
                <w:sz w:val="24"/>
                <w:szCs w:val="24"/>
                <w:lang w:eastAsia="uk-UA"/>
              </w:rPr>
            </w:pPr>
          </w:p>
          <w:p>
            <w:pPr>
              <w:widowControl w:val="0"/>
              <w:spacing w:after="0" w:line="240" w:lineRule="auto"/>
              <w:ind w:left="92" w:hanging="21"/>
              <w:contextualSpacing/>
              <w:jc w:val="center"/>
              <w:rPr>
                <w:b/>
                <w:sz w:val="24"/>
                <w:szCs w:val="24"/>
              </w:rPr>
            </w:pPr>
            <w:r>
              <w:rPr>
                <w:b/>
                <w:sz w:val="24"/>
                <w:szCs w:val="24"/>
                <w:lang w:eastAsia="uk-UA"/>
              </w:rPr>
              <w:t>VI.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rPr>
                <w:color w:val="000000"/>
                <w:sz w:val="24"/>
                <w:szCs w:val="24"/>
                <w:lang w:eastAsia="ru-RU"/>
              </w:rPr>
            </w:pPr>
            <w:r>
              <w:rPr>
                <w:color w:val="000000"/>
                <w:sz w:val="24"/>
                <w:szCs w:val="24"/>
                <w:lang w:eastAsia="ru-RU"/>
              </w:rPr>
              <w:t>Відміна Замовником торгів чи визнання їх такими, що не відбулися</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Замовник відміняє відкриті торги у разі:</w:t>
            </w:r>
          </w:p>
          <w:p>
            <w:pPr>
              <w:spacing w:after="0" w:line="240" w:lineRule="auto"/>
              <w:jc w:val="both"/>
              <w:rPr>
                <w:sz w:val="24"/>
                <w:szCs w:val="24"/>
                <w:lang w:eastAsia="ru-RU"/>
              </w:rPr>
            </w:pPr>
            <w:r>
              <w:rPr>
                <w:color w:val="000000"/>
                <w:sz w:val="24"/>
                <w:szCs w:val="24"/>
                <w:lang w:eastAsia="ru-RU"/>
              </w:rPr>
              <w:t>1) відсутності подальшої потреби в закупівлі товарів, робіт чи послуг;</w:t>
            </w:r>
          </w:p>
          <w:p>
            <w:pPr>
              <w:spacing w:after="0" w:line="240" w:lineRule="auto"/>
              <w:jc w:val="both"/>
              <w:rPr>
                <w:sz w:val="24"/>
                <w:szCs w:val="24"/>
                <w:lang w:eastAsia="ru-RU"/>
              </w:rPr>
            </w:pPr>
            <w:r>
              <w:rPr>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jc w:val="both"/>
              <w:rPr>
                <w:sz w:val="24"/>
                <w:szCs w:val="24"/>
                <w:lang w:eastAsia="ru-RU"/>
              </w:rPr>
            </w:pPr>
            <w:r>
              <w:rPr>
                <w:color w:val="000000"/>
                <w:sz w:val="24"/>
                <w:szCs w:val="24"/>
                <w:lang w:eastAsia="ru-RU"/>
              </w:rPr>
              <w:t>3) скорочення обсягу видатків на здійснення закупівлі товарів, робіт чи послуг;</w:t>
            </w:r>
          </w:p>
          <w:p>
            <w:pPr>
              <w:spacing w:after="0" w:line="240" w:lineRule="auto"/>
              <w:jc w:val="both"/>
              <w:rPr>
                <w:sz w:val="24"/>
                <w:szCs w:val="24"/>
                <w:lang w:eastAsia="ru-RU"/>
              </w:rPr>
            </w:pPr>
            <w:r>
              <w:rPr>
                <w:color w:val="000000"/>
                <w:sz w:val="24"/>
                <w:szCs w:val="24"/>
                <w:lang w:eastAsia="ru-RU"/>
              </w:rPr>
              <w:t>4) коли здійснення закупівлі стало неможливим внаслідок дії обставин непереборної сили.</w:t>
            </w:r>
          </w:p>
          <w:p>
            <w:pPr>
              <w:spacing w:after="0" w:line="240" w:lineRule="auto"/>
              <w:jc w:val="both"/>
              <w:rPr>
                <w:sz w:val="24"/>
                <w:szCs w:val="24"/>
                <w:lang w:eastAsia="ru-RU"/>
              </w:rPr>
            </w:pPr>
            <w:r>
              <w:rPr>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line="240" w:lineRule="auto"/>
              <w:jc w:val="both"/>
              <w:rPr>
                <w:sz w:val="24"/>
                <w:szCs w:val="24"/>
                <w:lang w:eastAsia="ru-RU"/>
              </w:rPr>
            </w:pPr>
            <w:r>
              <w:rPr>
                <w:color w:val="000000"/>
                <w:sz w:val="24"/>
                <w:szCs w:val="24"/>
                <w:lang w:eastAsia="ru-RU"/>
              </w:rPr>
              <w:t>Відкриті торги автоматично відміняються електронною системою закупівель у разі:</w:t>
            </w:r>
          </w:p>
          <w:p>
            <w:pPr>
              <w:spacing w:after="0" w:line="240" w:lineRule="auto"/>
              <w:jc w:val="both"/>
              <w:rPr>
                <w:sz w:val="24"/>
                <w:szCs w:val="24"/>
                <w:lang w:eastAsia="ru-RU"/>
              </w:rPr>
            </w:pPr>
            <w:r>
              <w:rPr>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sz w:val="24"/>
                <w:szCs w:val="24"/>
                <w:lang w:eastAsia="ru-RU"/>
              </w:rPr>
            </w:pPr>
            <w:r>
              <w:rPr>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sz w:val="24"/>
                <w:szCs w:val="24"/>
                <w:lang w:eastAsia="ru-RU"/>
              </w:rPr>
            </w:pPr>
            <w:r>
              <w:rPr>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240" w:lineRule="auto"/>
              <w:jc w:val="both"/>
              <w:rPr>
                <w:sz w:val="24"/>
                <w:szCs w:val="24"/>
                <w:lang w:eastAsia="ru-RU"/>
              </w:rPr>
            </w:pPr>
            <w:r>
              <w:rPr>
                <w:color w:val="000000"/>
                <w:sz w:val="24"/>
                <w:szCs w:val="24"/>
                <w:lang w:eastAsia="ru-RU"/>
              </w:rPr>
              <w:t>Відкриті торги можуть бути відмінені частково (за лотом).</w:t>
            </w:r>
          </w:p>
          <w:p>
            <w:pPr>
              <w:pStyle w:val="22"/>
              <w:shd w:val="clear" w:color="auto" w:fill="FFFFFF"/>
              <w:spacing w:before="0" w:beforeAutospacing="0" w:after="0" w:afterAutospacing="0"/>
              <w:ind w:firstLine="346"/>
              <w:jc w:val="both"/>
              <w:rPr>
                <w:rFonts w:eastAsia="Times New Roman"/>
                <w:color w:val="000000"/>
                <w:lang w:eastAsia="ru-RU"/>
              </w:rPr>
            </w:pPr>
            <w:r>
              <w:rPr>
                <w:rFonts w:eastAsia="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2</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w:t>
            </w:r>
            <w:r>
              <w:rPr>
                <w:color w:val="000000"/>
                <w:sz w:val="24"/>
                <w:szCs w:val="24"/>
                <w:lang w:val="ru-RU" w:eastAsia="ru-RU"/>
              </w:rPr>
              <w:t xml:space="preserve"> </w:t>
            </w:r>
            <w:r>
              <w:rPr>
                <w:color w:val="000000"/>
                <w:sz w:val="24"/>
                <w:szCs w:val="24"/>
                <w:lang w:eastAsia="ru-RU"/>
              </w:rPr>
              <w:t>закупівель повідомлення про намір укласти договір про закупівлю.</w:t>
            </w:r>
          </w:p>
          <w:p>
            <w:pPr>
              <w:spacing w:after="0" w:line="240" w:lineRule="auto"/>
              <w:jc w:val="both"/>
              <w:rPr>
                <w:sz w:val="24"/>
                <w:szCs w:val="24"/>
                <w:lang w:eastAsia="ru-RU"/>
              </w:rPr>
            </w:pPr>
            <w:r>
              <w:rPr>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spacing w:after="0" w:line="240" w:lineRule="auto"/>
              <w:ind w:right="113"/>
              <w:contextualSpacing/>
              <w:jc w:val="both"/>
              <w:rPr>
                <w:color w:val="000000"/>
                <w:sz w:val="24"/>
                <w:szCs w:val="24"/>
                <w:lang w:eastAsia="ru-RU"/>
              </w:rPr>
            </w:pPr>
            <w:r>
              <w:rPr>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3</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 xml:space="preserve">Проєкт договору про закупівлю </w:t>
            </w:r>
          </w:p>
        </w:tc>
        <w:tc>
          <w:tcPr>
            <w:tcW w:w="6798" w:type="dxa"/>
            <w:shd w:val="clear" w:color="auto" w:fill="auto"/>
          </w:tcPr>
          <w:p>
            <w:pPr>
              <w:spacing w:after="0" w:line="240" w:lineRule="auto"/>
              <w:jc w:val="both"/>
              <w:rPr>
                <w:color w:val="000000"/>
                <w:sz w:val="24"/>
                <w:szCs w:val="24"/>
                <w:lang w:eastAsia="ru-RU"/>
              </w:rPr>
            </w:pPr>
            <w:r>
              <w:rPr>
                <w:color w:val="000000"/>
                <w:sz w:val="24"/>
                <w:szCs w:val="24"/>
                <w:lang w:eastAsia="ru-RU"/>
              </w:rPr>
              <w:t>Проєкт договору про закупівлю викладений у Додатку № 5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4</w:t>
            </w:r>
          </w:p>
        </w:tc>
        <w:tc>
          <w:tcPr>
            <w:tcW w:w="2838" w:type="dxa"/>
            <w:shd w:val="clear" w:color="auto" w:fill="auto"/>
          </w:tcPr>
          <w:p>
            <w:pPr>
              <w:widowControl w:val="0"/>
              <w:spacing w:after="0" w:line="240" w:lineRule="auto"/>
              <w:ind w:right="113"/>
              <w:contextualSpacing/>
              <w:rPr>
                <w:sz w:val="24"/>
                <w:szCs w:val="24"/>
                <w:lang w:eastAsia="uk-UA"/>
              </w:rPr>
            </w:pPr>
            <w:r>
              <w:rPr>
                <w:color w:val="000000"/>
                <w:sz w:val="24"/>
                <w:szCs w:val="24"/>
                <w:lang w:eastAsia="ru-RU"/>
              </w:rPr>
              <w:t>Умови</w:t>
            </w:r>
            <w:r>
              <w:rPr>
                <w:color w:val="000000"/>
                <w:sz w:val="24"/>
                <w:szCs w:val="24"/>
                <w:lang w:val="ru-RU" w:eastAsia="ru-RU"/>
              </w:rPr>
              <w:t xml:space="preserve"> </w:t>
            </w:r>
            <w:r>
              <w:rPr>
                <w:color w:val="000000"/>
                <w:sz w:val="24"/>
                <w:szCs w:val="24"/>
                <w:lang w:eastAsia="ru-RU"/>
              </w:rPr>
              <w:t>укладання договору про закупівлю</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after="0" w:line="240" w:lineRule="auto"/>
              <w:jc w:val="both"/>
              <w:rPr>
                <w:sz w:val="24"/>
                <w:szCs w:val="24"/>
                <w:lang w:eastAsia="ru-RU"/>
              </w:rPr>
            </w:pPr>
            <w:r>
              <w:rPr>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numPr>
                <w:ilvl w:val="0"/>
                <w:numId w:val="10"/>
              </w:numPr>
              <w:spacing w:after="0" w:line="240" w:lineRule="auto"/>
              <w:jc w:val="both"/>
              <w:textAlignment w:val="baseline"/>
              <w:rPr>
                <w:color w:val="000000"/>
                <w:sz w:val="24"/>
                <w:szCs w:val="24"/>
                <w:lang w:eastAsia="ru-RU"/>
              </w:rPr>
            </w:pPr>
            <w:r>
              <w:rPr>
                <w:color w:val="000000"/>
                <w:sz w:val="24"/>
                <w:szCs w:val="24"/>
                <w:lang w:eastAsia="ru-RU"/>
              </w:rPr>
              <w:t>визначення грошового еквівалента зобов’язання в іноземній валюті; </w:t>
            </w:r>
          </w:p>
          <w:p>
            <w:pPr>
              <w:numPr>
                <w:ilvl w:val="0"/>
                <w:numId w:val="10"/>
              </w:numPr>
              <w:spacing w:after="0" w:line="240" w:lineRule="auto"/>
              <w:jc w:val="both"/>
              <w:textAlignment w:val="baseline"/>
              <w:rPr>
                <w:color w:val="000000"/>
                <w:sz w:val="24"/>
                <w:szCs w:val="24"/>
                <w:lang w:eastAsia="ru-RU"/>
              </w:rPr>
            </w:pPr>
            <w:r>
              <w:rPr>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numPr>
                <w:ilvl w:val="0"/>
                <w:numId w:val="10"/>
              </w:numPr>
              <w:spacing w:after="0" w:line="240" w:lineRule="auto"/>
              <w:jc w:val="both"/>
              <w:textAlignment w:val="baseline"/>
              <w:rPr>
                <w:color w:val="000000"/>
                <w:sz w:val="24"/>
                <w:szCs w:val="24"/>
                <w:lang w:eastAsia="ru-RU"/>
              </w:rPr>
            </w:pPr>
            <w:r>
              <w:rPr>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after="0" w:line="240" w:lineRule="auto"/>
              <w:jc w:val="both"/>
              <w:rPr>
                <w:sz w:val="24"/>
                <w:szCs w:val="24"/>
                <w:lang w:eastAsia="ru-RU"/>
              </w:rPr>
            </w:pPr>
            <w:r>
              <w:rPr>
                <w:color w:val="000000"/>
                <w:sz w:val="24"/>
                <w:szCs w:val="24"/>
                <w:lang w:eastAsia="ru-RU"/>
              </w:rPr>
              <w:t>Переможець процедури закупівлі під час укладення договору про закупівлю повинен надати: </w:t>
            </w:r>
          </w:p>
          <w:p>
            <w:pPr>
              <w:spacing w:after="0" w:line="240" w:lineRule="auto"/>
              <w:jc w:val="both"/>
              <w:rPr>
                <w:sz w:val="24"/>
                <w:szCs w:val="24"/>
                <w:lang w:eastAsia="ru-RU"/>
              </w:rPr>
            </w:pPr>
            <w:r>
              <w:rPr>
                <w:color w:val="000000"/>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поштову адресу: 09100, Київська область, м. Біла Церква, вул. Мережна 44А або направлення інформації на електронну адресу замовника, а саме: </w:t>
            </w:r>
            <w:r>
              <w:rPr>
                <w:sz w:val="24"/>
                <w:szCs w:val="24"/>
              </w:rPr>
              <w:t>a044561174@gmail.com</w:t>
            </w:r>
          </w:p>
          <w:p>
            <w:pPr>
              <w:spacing w:after="0" w:line="240" w:lineRule="auto"/>
              <w:jc w:val="both"/>
              <w:rPr>
                <w:sz w:val="24"/>
                <w:szCs w:val="24"/>
                <w:lang w:eastAsia="ru-RU"/>
              </w:rPr>
            </w:pPr>
            <w:r>
              <w:rPr>
                <w:color w:val="000000"/>
                <w:sz w:val="24"/>
                <w:szCs w:val="24"/>
                <w:lang w:eastAsia="ru-RU"/>
              </w:rPr>
              <w:t>2) копію</w:t>
            </w:r>
            <w:r>
              <w:rPr>
                <w:color w:val="000000"/>
                <w:sz w:val="24"/>
                <w:szCs w:val="24"/>
                <w:lang w:val="ru-RU" w:eastAsia="ru-RU"/>
              </w:rPr>
              <w:t xml:space="preserve"> </w:t>
            </w:r>
            <w:r>
              <w:rPr>
                <w:color w:val="000000"/>
                <w:sz w:val="24"/>
                <w:szCs w:val="24"/>
                <w:lang w:eastAsia="ru-RU"/>
              </w:rPr>
              <w:t>ліцензії</w:t>
            </w:r>
            <w:r>
              <w:rPr>
                <w:color w:val="000000"/>
                <w:sz w:val="24"/>
                <w:szCs w:val="24"/>
                <w:lang w:val="ru-RU" w:eastAsia="ru-RU"/>
              </w:rPr>
              <w:t xml:space="preserve"> </w:t>
            </w:r>
            <w:r>
              <w:rPr>
                <w:color w:val="000000"/>
                <w:sz w:val="24"/>
                <w:szCs w:val="24"/>
                <w:lang w:eastAsia="ru-RU"/>
              </w:rPr>
              <w:t>або документа дозвільного характеру (у разі</w:t>
            </w:r>
            <w:r>
              <w:rPr>
                <w:color w:val="000000"/>
                <w:sz w:val="24"/>
                <w:szCs w:val="24"/>
                <w:lang w:val="ru-RU" w:eastAsia="ru-RU"/>
              </w:rPr>
              <w:t xml:space="preserve"> </w:t>
            </w:r>
            <w:r>
              <w:rPr>
                <w:color w:val="000000"/>
                <w:sz w:val="24"/>
                <w:szCs w:val="24"/>
                <w:lang w:eastAsia="ru-RU"/>
              </w:rPr>
              <w:t>їх</w:t>
            </w:r>
            <w:r>
              <w:rPr>
                <w:color w:val="000000"/>
                <w:sz w:val="24"/>
                <w:szCs w:val="24"/>
                <w:lang w:val="ru-RU" w:eastAsia="ru-RU"/>
              </w:rPr>
              <w:t xml:space="preserve"> </w:t>
            </w:r>
            <w:r>
              <w:rPr>
                <w:color w:val="000000"/>
                <w:sz w:val="24"/>
                <w:szCs w:val="24"/>
                <w:lang w:eastAsia="ru-RU"/>
              </w:rPr>
              <w:t>наявності) на провадження</w:t>
            </w:r>
            <w:r>
              <w:rPr>
                <w:color w:val="000000"/>
                <w:sz w:val="24"/>
                <w:szCs w:val="24"/>
                <w:lang w:val="ru-RU" w:eastAsia="ru-RU"/>
              </w:rPr>
              <w:t xml:space="preserve"> </w:t>
            </w:r>
            <w:r>
              <w:rPr>
                <w:color w:val="000000"/>
                <w:sz w:val="24"/>
                <w:szCs w:val="24"/>
                <w:lang w:eastAsia="ru-RU"/>
              </w:rPr>
              <w:t>певного виду господарської</w:t>
            </w:r>
            <w:r>
              <w:rPr>
                <w:color w:val="000000"/>
                <w:sz w:val="24"/>
                <w:szCs w:val="24"/>
                <w:lang w:val="ru-RU" w:eastAsia="ru-RU"/>
              </w:rPr>
              <w:t xml:space="preserve"> </w:t>
            </w:r>
            <w:r>
              <w:rPr>
                <w:color w:val="000000"/>
                <w:sz w:val="24"/>
                <w:szCs w:val="24"/>
                <w:lang w:eastAsia="ru-RU"/>
              </w:rPr>
              <w:t>діяльності, якщо</w:t>
            </w:r>
            <w:r>
              <w:rPr>
                <w:color w:val="000000"/>
                <w:sz w:val="24"/>
                <w:szCs w:val="24"/>
                <w:lang w:val="ru-RU" w:eastAsia="ru-RU"/>
              </w:rPr>
              <w:t xml:space="preserve"> </w:t>
            </w:r>
            <w:r>
              <w:rPr>
                <w:color w:val="000000"/>
                <w:sz w:val="24"/>
                <w:szCs w:val="24"/>
                <w:lang w:eastAsia="ru-RU"/>
              </w:rPr>
              <w:t>отримання</w:t>
            </w:r>
            <w:r>
              <w:rPr>
                <w:color w:val="000000"/>
                <w:sz w:val="24"/>
                <w:szCs w:val="24"/>
                <w:lang w:val="ru-RU" w:eastAsia="ru-RU"/>
              </w:rPr>
              <w:t xml:space="preserve"> </w:t>
            </w:r>
            <w:r>
              <w:rPr>
                <w:color w:val="000000"/>
                <w:sz w:val="24"/>
                <w:szCs w:val="24"/>
                <w:lang w:eastAsia="ru-RU"/>
              </w:rPr>
              <w:t>дозволу</w:t>
            </w:r>
            <w:r>
              <w:rPr>
                <w:color w:val="000000"/>
                <w:sz w:val="24"/>
                <w:szCs w:val="24"/>
                <w:lang w:val="ru-RU" w:eastAsia="ru-RU"/>
              </w:rPr>
              <w:t xml:space="preserve"> </w:t>
            </w:r>
            <w:r>
              <w:rPr>
                <w:color w:val="000000"/>
                <w:sz w:val="24"/>
                <w:szCs w:val="24"/>
                <w:lang w:eastAsia="ru-RU"/>
              </w:rPr>
              <w:t>або</w:t>
            </w:r>
            <w:r>
              <w:rPr>
                <w:color w:val="000000"/>
                <w:sz w:val="24"/>
                <w:szCs w:val="24"/>
                <w:lang w:val="ru-RU" w:eastAsia="ru-RU"/>
              </w:rPr>
              <w:t xml:space="preserve"> </w:t>
            </w:r>
            <w:r>
              <w:rPr>
                <w:color w:val="000000"/>
                <w:sz w:val="24"/>
                <w:szCs w:val="24"/>
                <w:lang w:eastAsia="ru-RU"/>
              </w:rPr>
              <w:t>ліцензії на провадження такого виду діяльності</w:t>
            </w:r>
            <w:r>
              <w:rPr>
                <w:color w:val="000000"/>
                <w:sz w:val="24"/>
                <w:szCs w:val="24"/>
                <w:lang w:val="ru-RU" w:eastAsia="ru-RU"/>
              </w:rPr>
              <w:t xml:space="preserve"> </w:t>
            </w:r>
            <w:r>
              <w:rPr>
                <w:color w:val="000000"/>
                <w:sz w:val="24"/>
                <w:szCs w:val="24"/>
                <w:lang w:eastAsia="ru-RU"/>
              </w:rPr>
              <w:t>передбачено законом.</w:t>
            </w:r>
          </w:p>
          <w:p>
            <w:pPr>
              <w:pStyle w:val="22"/>
              <w:shd w:val="clear" w:color="auto" w:fill="FFFFFF"/>
              <w:spacing w:before="0" w:beforeAutospacing="0" w:after="0" w:afterAutospacing="0"/>
              <w:jc w:val="both"/>
              <w:rPr>
                <w:color w:val="333333"/>
              </w:rPr>
            </w:pPr>
            <w:r>
              <w:rPr>
                <w:rFonts w:eastAsia="Times New Roman"/>
                <w:color w:val="000000"/>
                <w:lang w:eastAsia="ru-RU"/>
              </w:rPr>
              <w:t>Істотні</w:t>
            </w:r>
            <w:r>
              <w:rPr>
                <w:rFonts w:eastAsia="Times New Roman"/>
                <w:color w:val="000000"/>
                <w:lang w:val="ru-RU" w:eastAsia="ru-RU"/>
              </w:rPr>
              <w:t xml:space="preserve"> </w:t>
            </w:r>
            <w:r>
              <w:rPr>
                <w:rFonts w:eastAsia="Times New Roman"/>
                <w:color w:val="000000"/>
                <w:lang w:eastAsia="ru-RU"/>
              </w:rPr>
              <w:t>умови договору про закупівлю не можуть</w:t>
            </w:r>
            <w:r>
              <w:rPr>
                <w:rFonts w:eastAsia="Times New Roman"/>
                <w:color w:val="000000"/>
                <w:lang w:val="ru-RU" w:eastAsia="ru-RU"/>
              </w:rPr>
              <w:t xml:space="preserve"> </w:t>
            </w:r>
            <w:r>
              <w:rPr>
                <w:rFonts w:eastAsia="Times New Roman"/>
                <w:color w:val="000000"/>
                <w:lang w:eastAsia="ru-RU"/>
              </w:rPr>
              <w:t>змінюватися</w:t>
            </w:r>
            <w:r>
              <w:rPr>
                <w:rFonts w:eastAsia="Times New Roman"/>
                <w:color w:val="000000"/>
                <w:lang w:val="ru-RU" w:eastAsia="ru-RU"/>
              </w:rPr>
              <w:t xml:space="preserve"> </w:t>
            </w:r>
            <w:r>
              <w:rPr>
                <w:rFonts w:eastAsia="Times New Roman"/>
                <w:color w:val="000000"/>
                <w:lang w:eastAsia="ru-RU"/>
              </w:rPr>
              <w:t>після</w:t>
            </w:r>
            <w:r>
              <w:rPr>
                <w:rFonts w:eastAsia="Times New Roman"/>
                <w:color w:val="000000"/>
                <w:lang w:val="ru-RU" w:eastAsia="ru-RU"/>
              </w:rPr>
              <w:t xml:space="preserve"> </w:t>
            </w:r>
            <w:r>
              <w:rPr>
                <w:rFonts w:eastAsia="Times New Roman"/>
                <w:color w:val="000000"/>
                <w:lang w:eastAsia="ru-RU"/>
              </w:rPr>
              <w:t>його</w:t>
            </w:r>
            <w:r>
              <w:rPr>
                <w:rFonts w:eastAsia="Times New Roman"/>
                <w:color w:val="000000"/>
                <w:lang w:val="ru-RU" w:eastAsia="ru-RU"/>
              </w:rPr>
              <w:t xml:space="preserve"> </w:t>
            </w:r>
            <w:r>
              <w:rPr>
                <w:rFonts w:eastAsia="Times New Roman"/>
                <w:color w:val="000000"/>
                <w:lang w:eastAsia="ru-RU"/>
              </w:rPr>
              <w:t>підписання до виконання</w:t>
            </w:r>
            <w:r>
              <w:rPr>
                <w:rFonts w:eastAsia="Times New Roman"/>
                <w:color w:val="000000"/>
                <w:lang w:val="ru-RU" w:eastAsia="ru-RU"/>
              </w:rPr>
              <w:t xml:space="preserve"> </w:t>
            </w:r>
            <w:r>
              <w:rPr>
                <w:rFonts w:eastAsia="Times New Roman"/>
                <w:color w:val="000000"/>
                <w:lang w:eastAsia="ru-RU"/>
              </w:rPr>
              <w:t>зобов’язань сторонами в повному</w:t>
            </w:r>
            <w:r>
              <w:rPr>
                <w:rFonts w:eastAsia="Times New Roman"/>
                <w:color w:val="000000"/>
                <w:lang w:val="ru-RU" w:eastAsia="ru-RU"/>
              </w:rPr>
              <w:t xml:space="preserve"> </w:t>
            </w:r>
            <w:r>
              <w:rPr>
                <w:rFonts w:eastAsia="Times New Roman"/>
                <w:color w:val="000000"/>
                <w:lang w:eastAsia="ru-RU"/>
              </w:rPr>
              <w:t>обсязі, крім</w:t>
            </w:r>
            <w:r>
              <w:rPr>
                <w:rFonts w:eastAsia="Times New Roman"/>
                <w:color w:val="000000"/>
                <w:lang w:val="ru-RU" w:eastAsia="ru-RU"/>
              </w:rPr>
              <w:t xml:space="preserve"> </w:t>
            </w:r>
            <w:r>
              <w:rPr>
                <w:rFonts w:eastAsia="Times New Roman"/>
                <w:color w:val="000000"/>
                <w:lang w:eastAsia="ru-RU"/>
              </w:rPr>
              <w:t>випадків</w:t>
            </w:r>
            <w:r>
              <w:rPr>
                <w:rFonts w:eastAsia="Times New Roman"/>
                <w:color w:val="000000"/>
                <w:lang w:val="ru-RU" w:eastAsia="ru-RU"/>
              </w:rPr>
              <w:t xml:space="preserve"> </w:t>
            </w:r>
            <w:r>
              <w:rPr>
                <w:rFonts w:eastAsia="Times New Roman"/>
                <w:color w:val="000000"/>
                <w:lang w:eastAsia="ru-RU"/>
              </w:rPr>
              <w:t>визначених пунктом 19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5</w:t>
            </w:r>
          </w:p>
        </w:tc>
        <w:tc>
          <w:tcPr>
            <w:tcW w:w="2838" w:type="dxa"/>
            <w:shd w:val="clear" w:color="auto" w:fill="auto"/>
          </w:tcPr>
          <w:p>
            <w:pPr>
              <w:widowControl w:val="0"/>
              <w:spacing w:after="0" w:line="240" w:lineRule="auto"/>
              <w:ind w:right="113"/>
              <w:contextualSpacing/>
              <w:rPr>
                <w:color w:val="000000"/>
                <w:sz w:val="24"/>
                <w:szCs w:val="24"/>
                <w:lang w:eastAsia="ru-RU"/>
              </w:rPr>
            </w:pPr>
            <w:r>
              <w:rPr>
                <w:color w:val="000000"/>
                <w:sz w:val="24"/>
                <w:szCs w:val="24"/>
                <w:lang w:eastAsia="ru-RU"/>
              </w:rPr>
              <w:t>Дії замовника при відмові переможця торгів підписати договір про закупівлю</w:t>
            </w:r>
          </w:p>
        </w:tc>
        <w:tc>
          <w:tcPr>
            <w:tcW w:w="6798" w:type="dxa"/>
            <w:shd w:val="clear" w:color="auto" w:fill="auto"/>
          </w:tcPr>
          <w:p>
            <w:pPr>
              <w:widowControl w:val="0"/>
              <w:spacing w:after="0" w:line="240" w:lineRule="auto"/>
              <w:ind w:right="113" w:firstLine="317"/>
              <w:contextualSpacing/>
              <w:jc w:val="both"/>
              <w:rPr>
                <w:color w:val="000000"/>
                <w:sz w:val="24"/>
                <w:szCs w:val="24"/>
                <w:lang w:eastAsia="ru-RU"/>
              </w:rPr>
            </w:pPr>
            <w:r>
              <w:rPr>
                <w:color w:val="000000"/>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найбільше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6</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798" w:type="dxa"/>
            <w:shd w:val="clear" w:color="auto" w:fill="auto"/>
          </w:tcPr>
          <w:p>
            <w:pPr>
              <w:widowControl w:val="0"/>
              <w:spacing w:after="0" w:line="240" w:lineRule="auto"/>
              <w:ind w:right="113" w:firstLine="317"/>
              <w:contextualSpacing/>
              <w:jc w:val="both"/>
              <w:rPr>
                <w:sz w:val="24"/>
                <w:szCs w:val="24"/>
              </w:rPr>
            </w:pPr>
            <w:r>
              <w:rPr>
                <w:sz w:val="24"/>
                <w:szCs w:val="24"/>
              </w:rPr>
              <w:t>Забезпечення виконання договору про закупівлю не вимагається.</w:t>
            </w:r>
          </w:p>
        </w:tc>
      </w:tr>
    </w:tbl>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160" w:line="240" w:lineRule="auto"/>
        <w:jc w:val="right"/>
        <w:rPr>
          <w:sz w:val="24"/>
          <w:szCs w:val="24"/>
          <w:lang w:eastAsia="ru-RU"/>
        </w:rPr>
      </w:pPr>
      <w:r>
        <w:rPr>
          <w:b/>
          <w:bCs/>
          <w:color w:val="000000"/>
          <w:sz w:val="24"/>
          <w:szCs w:val="24"/>
          <w:lang w:eastAsia="ru-RU"/>
        </w:rPr>
        <w:t>Додаток № 1 до тендерної документації</w:t>
      </w:r>
    </w:p>
    <w:p>
      <w:pPr>
        <w:spacing w:after="160" w:line="240" w:lineRule="auto"/>
        <w:jc w:val="center"/>
        <w:rPr>
          <w:sz w:val="24"/>
          <w:szCs w:val="24"/>
          <w:lang w:eastAsia="ru-RU"/>
        </w:rPr>
      </w:pPr>
      <w:r>
        <w:rPr>
          <w:b/>
          <w:bCs/>
          <w:color w:val="000000"/>
          <w:sz w:val="24"/>
          <w:szCs w:val="24"/>
          <w:lang w:eastAsia="ru-RU"/>
        </w:rPr>
        <w:t>Кваліфікаційні критерії</w:t>
      </w:r>
    </w:p>
    <w:p>
      <w:pPr>
        <w:spacing w:after="0" w:line="240" w:lineRule="auto"/>
        <w:jc w:val="both"/>
        <w:rPr>
          <w:b/>
          <w:sz w:val="24"/>
          <w:szCs w:val="24"/>
          <w:lang w:eastAsia="ru-RU"/>
        </w:rPr>
      </w:pPr>
    </w:p>
    <w:tbl>
      <w:tblPr>
        <w:tblStyle w:val="6"/>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458"/>
        <w:gridCol w:w="3457"/>
        <w:gridCol w:w="59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c>
          <w:tcPr>
            <w:tcW w:w="0" w:type="auto"/>
            <w:tcMar>
              <w:top w:w="0" w:type="dxa"/>
              <w:left w:w="108" w:type="dxa"/>
              <w:bottom w:w="0" w:type="dxa"/>
              <w:right w:w="108" w:type="dxa"/>
            </w:tcMar>
            <w:vAlign w:val="center"/>
          </w:tcPr>
          <w:p>
            <w:pPr>
              <w:spacing w:after="0" w:line="0" w:lineRule="atLeast"/>
              <w:jc w:val="center"/>
              <w:rPr>
                <w:sz w:val="24"/>
                <w:szCs w:val="24"/>
                <w:lang w:eastAsia="ru-RU"/>
              </w:rPr>
            </w:pPr>
            <w:r>
              <w:rPr>
                <w:b/>
                <w:bCs/>
                <w:color w:val="000000"/>
                <w:sz w:val="24"/>
                <w:szCs w:val="24"/>
                <w:lang w:eastAsia="ru-RU"/>
              </w:rPr>
              <w:t>№</w:t>
            </w:r>
          </w:p>
        </w:tc>
        <w:tc>
          <w:tcPr>
            <w:tcW w:w="0" w:type="auto"/>
            <w:tcMar>
              <w:top w:w="0" w:type="dxa"/>
              <w:left w:w="108" w:type="dxa"/>
              <w:bottom w:w="0" w:type="dxa"/>
              <w:right w:w="108" w:type="dxa"/>
            </w:tcMar>
            <w:vAlign w:val="center"/>
          </w:tcPr>
          <w:p>
            <w:pPr>
              <w:spacing w:after="0" w:line="0" w:lineRule="atLeast"/>
              <w:jc w:val="center"/>
              <w:rPr>
                <w:sz w:val="24"/>
                <w:szCs w:val="24"/>
                <w:lang w:eastAsia="ru-RU"/>
              </w:rPr>
            </w:pPr>
            <w:r>
              <w:rPr>
                <w:b/>
                <w:bCs/>
                <w:color w:val="000000"/>
                <w:sz w:val="24"/>
                <w:szCs w:val="24"/>
                <w:lang w:eastAsia="ru-RU"/>
              </w:rPr>
              <w:t>Назва кваліфікаційного критерію</w:t>
            </w:r>
          </w:p>
        </w:tc>
        <w:tc>
          <w:tcPr>
            <w:tcW w:w="0" w:type="auto"/>
            <w:tcMar>
              <w:top w:w="0" w:type="dxa"/>
              <w:left w:w="108" w:type="dxa"/>
              <w:bottom w:w="0" w:type="dxa"/>
              <w:right w:w="108" w:type="dxa"/>
            </w:tcMar>
            <w:vAlign w:val="center"/>
          </w:tcPr>
          <w:p>
            <w:pPr>
              <w:spacing w:after="0" w:line="0" w:lineRule="atLeast"/>
              <w:jc w:val="center"/>
              <w:rPr>
                <w:sz w:val="24"/>
                <w:szCs w:val="24"/>
                <w:lang w:eastAsia="ru-RU"/>
              </w:rPr>
            </w:pPr>
            <w:r>
              <w:rPr>
                <w:b/>
                <w:bCs/>
                <w:color w:val="000000"/>
                <w:sz w:val="24"/>
                <w:szCs w:val="24"/>
                <w:lang w:eastAsia="ru-RU"/>
              </w:rPr>
              <w:t>Спосіб підтвердження кваліфікаційного критерію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8" w:hRule="atLeast"/>
        </w:trPr>
        <w:tc>
          <w:tcPr>
            <w:tcW w:w="0" w:type="auto"/>
            <w:tcMar>
              <w:top w:w="0" w:type="dxa"/>
              <w:left w:w="108" w:type="dxa"/>
              <w:bottom w:w="0" w:type="dxa"/>
              <w:right w:w="108" w:type="dxa"/>
            </w:tcMar>
          </w:tcPr>
          <w:p>
            <w:pPr>
              <w:spacing w:after="0" w:line="240" w:lineRule="auto"/>
              <w:jc w:val="center"/>
              <w:rPr>
                <w:sz w:val="22"/>
                <w:lang w:eastAsia="ru-RU"/>
              </w:rPr>
            </w:pPr>
            <w:r>
              <w:rPr>
                <w:color w:val="000000"/>
                <w:sz w:val="22"/>
                <w:lang w:eastAsia="ru-RU"/>
              </w:rPr>
              <w:t>1</w:t>
            </w:r>
          </w:p>
        </w:tc>
        <w:tc>
          <w:tcPr>
            <w:tcW w:w="0" w:type="auto"/>
            <w:tcMar>
              <w:top w:w="0" w:type="dxa"/>
              <w:left w:w="108" w:type="dxa"/>
              <w:bottom w:w="0" w:type="dxa"/>
              <w:right w:w="108" w:type="dxa"/>
            </w:tcMar>
          </w:tcPr>
          <w:p>
            <w:pPr>
              <w:pStyle w:val="20"/>
              <w:jc w:val="both"/>
              <w:rPr>
                <w:rFonts w:ascii="Times New Roman" w:hAnsi="Times New Roman" w:eastAsia="Times New Roman"/>
                <w:lang w:eastAsia="ru-RU"/>
              </w:rPr>
            </w:pPr>
            <w:r>
              <w:rPr>
                <w:rFonts w:ascii="Times New Roman" w:hAnsi="Times New Roman" w:eastAsia="Times New Roman"/>
              </w:rPr>
              <w:t>Наявність в учасника процедури закупівлі обладнання, матеріально-технічної бази та технологій.</w:t>
            </w:r>
          </w:p>
        </w:tc>
        <w:tc>
          <w:tcPr>
            <w:tcW w:w="0" w:type="auto"/>
            <w:tcMar>
              <w:top w:w="0" w:type="dxa"/>
              <w:left w:w="108" w:type="dxa"/>
              <w:bottom w:w="0" w:type="dxa"/>
              <w:right w:w="108" w:type="dxa"/>
            </w:tcMar>
          </w:tcPr>
          <w:p>
            <w:pPr>
              <w:pStyle w:val="20"/>
              <w:jc w:val="both"/>
              <w:rPr>
                <w:color w:val="000000"/>
                <w:sz w:val="27"/>
                <w:szCs w:val="27"/>
                <w:lang w:eastAsia="ru-RU"/>
              </w:rPr>
            </w:pPr>
            <w:r>
              <w:rPr>
                <w:rFonts w:ascii="Times New Roman" w:hAnsi="Times New Roman" w:eastAsia="Times New Roman"/>
              </w:rPr>
              <w:t>Наявність обладнання та матеріально-технічної бази, що підтверджується довідкою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12" w:hRule="atLeast"/>
        </w:trPr>
        <w:tc>
          <w:tcPr>
            <w:tcW w:w="0" w:type="auto"/>
            <w:tcMar>
              <w:top w:w="0" w:type="dxa"/>
              <w:left w:w="108" w:type="dxa"/>
              <w:bottom w:w="0" w:type="dxa"/>
              <w:right w:w="108" w:type="dxa"/>
            </w:tcMar>
          </w:tcPr>
          <w:p>
            <w:pPr>
              <w:spacing w:after="0" w:line="240" w:lineRule="auto"/>
              <w:jc w:val="center"/>
              <w:rPr>
                <w:sz w:val="22"/>
                <w:lang w:eastAsia="ru-RU"/>
              </w:rPr>
            </w:pPr>
            <w:r>
              <w:rPr>
                <w:color w:val="000000"/>
                <w:sz w:val="22"/>
                <w:lang w:eastAsia="ru-RU"/>
              </w:rPr>
              <w:t>2</w:t>
            </w:r>
          </w:p>
        </w:tc>
        <w:tc>
          <w:tcPr>
            <w:tcW w:w="0" w:type="auto"/>
            <w:tcMar>
              <w:top w:w="0" w:type="dxa"/>
              <w:left w:w="108" w:type="dxa"/>
              <w:bottom w:w="0" w:type="dxa"/>
              <w:right w:w="108" w:type="dxa"/>
            </w:tcMar>
          </w:tcPr>
          <w:p>
            <w:pPr>
              <w:pStyle w:val="20"/>
              <w:jc w:val="both"/>
              <w:rPr>
                <w:rFonts w:ascii="Times New Roman" w:hAnsi="Times New Roman" w:eastAsia="Times New Roman"/>
              </w:rPr>
            </w:pPr>
            <w:r>
              <w:rPr>
                <w:rFonts w:ascii="Times New Roman" w:hAnsi="Times New Roman" w:eastAsia="Times New Roman"/>
              </w:rPr>
              <w:t>Наявність в учасника процедури закупівлі працівників відповідної кваліфікації, які мають необхідні знання та досвід</w:t>
            </w:r>
          </w:p>
        </w:tc>
        <w:tc>
          <w:tcPr>
            <w:tcW w:w="0" w:type="auto"/>
            <w:tcMar>
              <w:top w:w="0" w:type="dxa"/>
              <w:left w:w="108" w:type="dxa"/>
              <w:bottom w:w="0" w:type="dxa"/>
              <w:right w:w="108" w:type="dxa"/>
            </w:tcMar>
          </w:tcPr>
          <w:p>
            <w:pPr>
              <w:spacing w:after="0" w:line="240" w:lineRule="auto"/>
              <w:rPr>
                <w:sz w:val="22"/>
              </w:rPr>
            </w:pPr>
            <w:r>
              <w:rPr>
                <w:sz w:val="22"/>
              </w:rPr>
              <w:t xml:space="preserve">Не вимагається </w:t>
            </w:r>
          </w:p>
          <w:p>
            <w:pPr>
              <w:spacing w:after="0" w:line="240" w:lineRule="auto"/>
              <w:jc w:val="both"/>
              <w:rPr>
                <w:color w:val="000000"/>
                <w:lang w:eastAsia="ru-RU"/>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983" w:hRule="atLeast"/>
        </w:trPr>
        <w:tc>
          <w:tcPr>
            <w:tcW w:w="0" w:type="auto"/>
            <w:tcBorders>
              <w:top w:val="single" w:color="auto" w:sz="2" w:space="0"/>
            </w:tcBorders>
            <w:tcMar>
              <w:top w:w="0" w:type="dxa"/>
              <w:left w:w="108" w:type="dxa"/>
              <w:bottom w:w="0" w:type="dxa"/>
              <w:right w:w="108" w:type="dxa"/>
            </w:tcMar>
          </w:tcPr>
          <w:p>
            <w:pPr>
              <w:spacing w:after="0" w:line="240" w:lineRule="auto"/>
              <w:jc w:val="center"/>
              <w:rPr>
                <w:sz w:val="22"/>
                <w:lang w:eastAsia="ru-RU"/>
              </w:rPr>
            </w:pPr>
            <w:r>
              <w:rPr>
                <w:color w:val="000000"/>
                <w:sz w:val="22"/>
                <w:lang w:eastAsia="ru-RU"/>
              </w:rPr>
              <w:t>3</w:t>
            </w:r>
          </w:p>
        </w:tc>
        <w:tc>
          <w:tcPr>
            <w:tcW w:w="0" w:type="auto"/>
            <w:tcBorders>
              <w:top w:val="single" w:color="auto" w:sz="2" w:space="0"/>
            </w:tcBorders>
            <w:tcMar>
              <w:top w:w="0" w:type="dxa"/>
              <w:left w:w="108" w:type="dxa"/>
              <w:bottom w:w="0" w:type="dxa"/>
              <w:right w:w="108" w:type="dxa"/>
            </w:tcMar>
          </w:tcPr>
          <w:p>
            <w:pPr>
              <w:pStyle w:val="20"/>
              <w:jc w:val="both"/>
              <w:rPr>
                <w:rFonts w:ascii="Times New Roman" w:hAnsi="Times New Roman" w:eastAsia="Times New Roman"/>
              </w:rPr>
            </w:pPr>
            <w:r>
              <w:rPr>
                <w:rFonts w:ascii="Times New Roman" w:hAnsi="Times New Roman" w:eastAsia="Times New Roman"/>
              </w:rPr>
              <w:t xml:space="preserve">Наявність документально підтвердженого досвіду виконання аналогічного (аналогічних) за предметом закупівлі договору (договорів) </w:t>
            </w: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tc>
        <w:tc>
          <w:tcPr>
            <w:tcW w:w="0" w:type="auto"/>
            <w:tcBorders>
              <w:top w:val="single" w:color="auto" w:sz="2" w:space="0"/>
              <w:bottom w:val="single" w:color="auto" w:sz="2" w:space="0"/>
            </w:tcBorders>
            <w:tcMar>
              <w:top w:w="0" w:type="dxa"/>
              <w:left w:w="108" w:type="dxa"/>
              <w:bottom w:w="0" w:type="dxa"/>
              <w:right w:w="108" w:type="dxa"/>
            </w:tcMar>
          </w:tcPr>
          <w:p>
            <w:pPr>
              <w:pStyle w:val="20"/>
              <w:jc w:val="both"/>
              <w:rPr>
                <w:rFonts w:ascii="Times New Roman" w:hAnsi="Times New Roman" w:eastAsia="Times New Roman"/>
              </w:rPr>
            </w:pPr>
            <w:r>
              <w:rPr>
                <w:rFonts w:ascii="Times New Roman" w:hAnsi="Times New Roman" w:eastAsia="Times New Roman"/>
              </w:rPr>
              <w:t>1. Довідка про наявність документально підтвердженого досвіду виконання аналогічного договору (договорів) за період з 2019 по 2023 роки, оформлена у довільній формі.</w:t>
            </w:r>
          </w:p>
          <w:p>
            <w:pPr>
              <w:spacing w:after="0" w:line="240" w:lineRule="auto"/>
              <w:jc w:val="both"/>
              <w:rPr>
                <w:sz w:val="22"/>
              </w:rPr>
            </w:pPr>
            <w:r>
              <w:rPr>
                <w:sz w:val="22"/>
              </w:rPr>
              <w:t xml:space="preserve">1.2.Копії договору(ів) зазначеного(них) у iнформацiйнiй довiдцi та копії видаткових накладних  на підтвердження виконання   договору(ів). </w:t>
            </w:r>
          </w:p>
          <w:p>
            <w:pPr>
              <w:spacing w:after="0" w:line="240" w:lineRule="auto"/>
              <w:jc w:val="both"/>
              <w:rPr>
                <w:sz w:val="24"/>
                <w:szCs w:val="24"/>
                <w:lang w:val="ru-RU" w:eastAsia="ru-RU"/>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c>
          <w:tcPr>
            <w:tcW w:w="0" w:type="auto"/>
            <w:tcMar>
              <w:top w:w="0" w:type="dxa"/>
              <w:left w:w="108" w:type="dxa"/>
              <w:bottom w:w="0" w:type="dxa"/>
              <w:right w:w="108" w:type="dxa"/>
            </w:tcMar>
          </w:tcPr>
          <w:p>
            <w:pPr>
              <w:spacing w:after="0" w:line="240" w:lineRule="auto"/>
              <w:jc w:val="both"/>
              <w:rPr>
                <w:sz w:val="22"/>
              </w:rPr>
            </w:pPr>
            <w:r>
              <w:rPr>
                <w:sz w:val="22"/>
              </w:rPr>
              <w:t>4</w:t>
            </w:r>
          </w:p>
        </w:tc>
        <w:tc>
          <w:tcPr>
            <w:tcW w:w="0" w:type="auto"/>
            <w:tcMar>
              <w:top w:w="0" w:type="dxa"/>
              <w:left w:w="108" w:type="dxa"/>
              <w:bottom w:w="0" w:type="dxa"/>
              <w:right w:w="108" w:type="dxa"/>
            </w:tcMar>
          </w:tcPr>
          <w:p>
            <w:pPr>
              <w:spacing w:after="0" w:line="240" w:lineRule="auto"/>
              <w:jc w:val="both"/>
              <w:rPr>
                <w:sz w:val="22"/>
              </w:rPr>
            </w:pPr>
            <w:r>
              <w:rPr>
                <w:sz w:val="22"/>
              </w:rPr>
              <w:t>Наявність фінансової спроможності, яка підтверджується фінансовою звітністю.</w:t>
            </w:r>
          </w:p>
        </w:tc>
        <w:tc>
          <w:tcPr>
            <w:tcW w:w="0" w:type="auto"/>
            <w:tcMar>
              <w:top w:w="0" w:type="dxa"/>
              <w:left w:w="108" w:type="dxa"/>
              <w:bottom w:w="0" w:type="dxa"/>
              <w:right w:w="108" w:type="dxa"/>
            </w:tcMar>
          </w:tcPr>
          <w:p>
            <w:pPr>
              <w:spacing w:after="0" w:line="240" w:lineRule="auto"/>
              <w:rPr>
                <w:sz w:val="22"/>
              </w:rPr>
            </w:pPr>
            <w:r>
              <w:rPr>
                <w:sz w:val="22"/>
              </w:rPr>
              <w:t xml:space="preserve">Не вимагається </w:t>
            </w:r>
          </w:p>
          <w:p>
            <w:pPr>
              <w:spacing w:after="0" w:line="0" w:lineRule="atLeast"/>
              <w:jc w:val="both"/>
              <w:rPr>
                <w:lang w:eastAsia="ru-RU"/>
              </w:rPr>
            </w:pPr>
          </w:p>
        </w:tc>
      </w:tr>
    </w:tbl>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240" w:line="240" w:lineRule="auto"/>
        <w:jc w:val="right"/>
        <w:rPr>
          <w:sz w:val="24"/>
          <w:szCs w:val="24"/>
          <w:lang w:eastAsia="ru-RU"/>
        </w:rPr>
      </w:pPr>
      <w:r>
        <w:rPr>
          <w:b/>
          <w:bCs/>
          <w:color w:val="000000"/>
          <w:sz w:val="24"/>
          <w:szCs w:val="24"/>
          <w:lang w:eastAsia="ru-RU"/>
        </w:rPr>
        <w:t>Додаток № 2 до тендерної документації</w:t>
      </w:r>
    </w:p>
    <w:p>
      <w:pPr>
        <w:spacing w:line="240" w:lineRule="auto"/>
        <w:jc w:val="center"/>
        <w:rPr>
          <w:sz w:val="24"/>
          <w:szCs w:val="24"/>
          <w:lang w:eastAsia="ru-RU"/>
        </w:rPr>
      </w:pPr>
      <w:r>
        <w:rPr>
          <w:b/>
          <w:bCs/>
          <w:color w:val="000000"/>
          <w:sz w:val="24"/>
          <w:szCs w:val="24"/>
          <w:lang w:eastAsia="ru-RU"/>
        </w:rPr>
        <w:t>Підстави для відмови в участі у процедурі закупівлі</w:t>
      </w:r>
    </w:p>
    <w:tbl>
      <w:tblPr>
        <w:tblStyle w:val="6"/>
        <w:tblW w:w="0" w:type="auto"/>
        <w:tblInd w:w="0" w:type="dxa"/>
        <w:tblLayout w:type="fixed"/>
        <w:tblCellMar>
          <w:top w:w="15" w:type="dxa"/>
          <w:left w:w="15" w:type="dxa"/>
          <w:bottom w:w="15" w:type="dxa"/>
          <w:right w:w="15" w:type="dxa"/>
        </w:tblCellMar>
      </w:tblPr>
      <w:tblGrid>
        <w:gridCol w:w="454"/>
        <w:gridCol w:w="3198"/>
        <w:gridCol w:w="2693"/>
        <w:gridCol w:w="3510"/>
      </w:tblGrid>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sz w:val="24"/>
                <w:szCs w:val="24"/>
                <w:lang w:eastAsia="ru-RU"/>
              </w:rPr>
            </w:pPr>
            <w:r>
              <w:rPr>
                <w:b/>
                <w:bCs/>
                <w:color w:val="000000"/>
                <w:sz w:val="24"/>
                <w:szCs w:val="24"/>
                <w:lang w:eastAsia="ru-RU"/>
              </w:rPr>
              <w:t>№ п/п</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sz w:val="24"/>
                <w:szCs w:val="24"/>
                <w:lang w:eastAsia="ru-RU"/>
              </w:rPr>
            </w:pPr>
            <w:r>
              <w:rPr>
                <w:b/>
                <w:bCs/>
                <w:color w:val="000000"/>
                <w:sz w:val="24"/>
                <w:szCs w:val="24"/>
                <w:lang w:eastAsia="ru-RU"/>
              </w:rPr>
              <w:t xml:space="preserve">Підстави для відмови в участі у процедурі закупівлі </w:t>
            </w:r>
            <w:r>
              <w:rPr>
                <w:b/>
                <w:bCs/>
                <w:color w:val="000000"/>
                <w:sz w:val="24"/>
                <w:szCs w:val="24"/>
                <w:lang w:val="ru-RU" w:eastAsia="ru-RU"/>
              </w:rPr>
              <w:t>(</w:t>
            </w:r>
            <w:r>
              <w:rPr>
                <w:b/>
                <w:bCs/>
                <w:color w:val="000000"/>
                <w:sz w:val="24"/>
                <w:szCs w:val="24"/>
                <w:lang w:eastAsia="ru-RU"/>
              </w:rPr>
              <w:t>п.44 Особливостей)</w:t>
            </w:r>
          </w:p>
          <w:p>
            <w:pPr>
              <w:spacing w:after="0" w:line="240" w:lineRule="auto"/>
              <w:jc w:val="center"/>
              <w:rPr>
                <w:sz w:val="24"/>
                <w:szCs w:val="24"/>
                <w:lang w:eastAsia="ru-RU"/>
              </w:rPr>
            </w:pPr>
          </w:p>
          <w:p>
            <w:pPr>
              <w:spacing w:after="0" w:line="240" w:lineRule="auto"/>
              <w:rPr>
                <w:sz w:val="24"/>
                <w:szCs w:val="24"/>
                <w:lang w:eastAsia="ru-RU"/>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sz w:val="24"/>
                <w:szCs w:val="24"/>
                <w:lang w:eastAsia="ru-RU"/>
              </w:rPr>
            </w:pPr>
            <w:r>
              <w:rPr>
                <w:b/>
                <w:bCs/>
                <w:color w:val="000000"/>
                <w:sz w:val="24"/>
                <w:szCs w:val="24"/>
                <w:lang w:eastAsia="ru-RU"/>
              </w:rPr>
              <w:t>Учасник процедури закупівлі</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sz w:val="24"/>
                <w:szCs w:val="24"/>
                <w:lang w:eastAsia="ru-RU"/>
              </w:rPr>
            </w:pPr>
            <w:r>
              <w:rPr>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lang w:eastAsia="ru-RU"/>
              </w:rPr>
            </w:pPr>
            <w:r>
              <w:rPr>
                <w:color w:val="000000"/>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2</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color w:val="000000"/>
                <w:sz w:val="24"/>
                <w:szCs w:val="24"/>
                <w:lang w:eastAsia="ru-RU"/>
              </w:rPr>
              <w:t>.</w:t>
            </w:r>
          </w:p>
          <w:p>
            <w:pPr>
              <w:spacing w:after="0" w:line="240" w:lineRule="auto"/>
              <w:rPr>
                <w:sz w:val="24"/>
                <w:szCs w:val="24"/>
                <w:lang w:eastAsia="ru-RU"/>
              </w:rPr>
            </w:pP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3</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1"/>
              <w:widowControl w:val="0"/>
              <w:ind w:firstLine="0"/>
              <w:jc w:val="both"/>
              <w:rPr>
                <w:rFonts w:ascii="Times New Roman" w:hAnsi="Times New Roman"/>
                <w:color w:val="000000"/>
                <w:sz w:val="24"/>
                <w:szCs w:val="24"/>
                <w:shd w:val="clear" w:color="auto" w:fill="FFFFFF"/>
              </w:rPr>
            </w:pPr>
            <w:r>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color w:val="000000"/>
                <w:sz w:val="24"/>
                <w:szCs w:val="24"/>
                <w:shd w:val="clear" w:color="auto" w:fill="FFFFFF"/>
                <w:lang w:eastAsia="ru-RU"/>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4</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color w:val="000000"/>
                <w:sz w:val="24"/>
                <w:szCs w:val="24"/>
                <w:lang w:eastAsia="ru-RU"/>
              </w:rPr>
              <w:t>пунктом 4</w:t>
            </w:r>
            <w:r>
              <w:rPr>
                <w:color w:val="000000"/>
                <w:sz w:val="24"/>
                <w:szCs w:val="24"/>
                <w:lang w:eastAsia="ru-RU"/>
              </w:rPr>
              <w:fldChar w:fldCharType="end"/>
            </w:r>
            <w:r>
              <w:rPr>
                <w:color w:val="000000"/>
                <w:sz w:val="24"/>
                <w:szCs w:val="24"/>
                <w:lang w:eastAsia="ru-RU"/>
              </w:rPr>
              <w:t> частини другої статті 6, </w:t>
            </w:r>
            <w:r>
              <w:fldChar w:fldCharType="begin"/>
            </w:r>
            <w:r>
              <w:instrText xml:space="preserve"> HYPERLINK "https://zakon.rada.gov.ua/laws/show/2210-14" \l "n456" \t "_blank" </w:instrText>
            </w:r>
            <w:r>
              <w:fldChar w:fldCharType="separate"/>
            </w:r>
            <w:r>
              <w:rPr>
                <w:color w:val="000000"/>
                <w:sz w:val="24"/>
                <w:szCs w:val="24"/>
                <w:lang w:eastAsia="ru-RU"/>
              </w:rPr>
              <w:t>пунктом 1</w:t>
            </w:r>
            <w:r>
              <w:rPr>
                <w:color w:val="000000"/>
                <w:sz w:val="24"/>
                <w:szCs w:val="24"/>
                <w:lang w:eastAsia="ru-RU"/>
              </w:rPr>
              <w:fldChar w:fldCharType="end"/>
            </w:r>
            <w:r>
              <w:rPr>
                <w:color w:val="000000"/>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5</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right="115"/>
              <w:jc w:val="both"/>
              <w:rPr>
                <w:color w:val="000000"/>
                <w:sz w:val="24"/>
                <w:szCs w:val="24"/>
                <w:shd w:val="clear" w:color="auto" w:fill="FFFFFF"/>
                <w:lang w:eastAsia="ru-RU"/>
              </w:rPr>
            </w:pPr>
            <w:r>
              <w:rPr>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pPr>
              <w:spacing w:after="0" w:line="240" w:lineRule="auto"/>
              <w:jc w:val="both"/>
              <w:rPr>
                <w:sz w:val="24"/>
                <w:szCs w:val="24"/>
                <w:lang w:eastAsia="ru-RU"/>
              </w:rPr>
            </w:pPr>
            <w:r>
              <w:rPr>
                <w:color w:val="000000"/>
                <w:sz w:val="24"/>
                <w:szCs w:val="24"/>
                <w:lang w:eastAsia="ru-RU"/>
              </w:rPr>
              <w:t>судимості не має та в розшуку не перебуває.</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6</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 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7</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8</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 xml:space="preserve">На момент оприлюднення оголошення про проведення відкритих торгів доступ до Єдиного реєстру підприємств, що 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w:t>
            </w:r>
            <w:r>
              <w:rPr>
                <w:color w:val="000000"/>
                <w:sz w:val="24"/>
                <w:szCs w:val="24"/>
                <w:shd w:val="clear" w:color="auto" w:fill="FFFFFF"/>
                <w:lang w:eastAsia="ru-RU"/>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9</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color w:val="000000"/>
                <w:sz w:val="24"/>
                <w:szCs w:val="24"/>
                <w:lang w:eastAsia="ru-RU"/>
              </w:rPr>
              <w:t>пунктом 9</w:t>
            </w:r>
            <w:r>
              <w:rPr>
                <w:color w:val="000000"/>
                <w:sz w:val="24"/>
                <w:szCs w:val="24"/>
                <w:lang w:eastAsia="ru-RU"/>
              </w:rPr>
              <w:fldChar w:fldCharType="end"/>
            </w:r>
            <w:r>
              <w:rPr>
                <w:color w:val="000000"/>
                <w:sz w:val="24"/>
                <w:szCs w:val="24"/>
                <w:shd w:val="clear" w:color="auto" w:fill="FFFFFF"/>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7"/>
                <w:szCs w:val="27"/>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10</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sz w:val="24"/>
                <w:szCs w:val="24"/>
                <w:lang w:eastAsia="ru-RU"/>
              </w:rPr>
              <w:t> </w:t>
            </w:r>
          </w:p>
          <w:p>
            <w:pPr>
              <w:spacing w:after="0" w:line="240" w:lineRule="auto"/>
              <w:jc w:val="both"/>
              <w:rPr>
                <w:sz w:val="24"/>
                <w:szCs w:val="24"/>
                <w:lang w:eastAsia="ru-RU"/>
              </w:rPr>
            </w:pPr>
            <w:r>
              <w:rPr>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rPr>
                <w:sz w:val="24"/>
                <w:szCs w:val="24"/>
                <w:lang w:eastAsia="ru-RU"/>
              </w:rPr>
            </w:pP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pPr>
              <w:spacing w:after="0" w:line="240" w:lineRule="auto"/>
              <w:jc w:val="both"/>
              <w:rPr>
                <w:sz w:val="24"/>
                <w:szCs w:val="24"/>
                <w:lang w:eastAsia="ru-RU"/>
              </w:rPr>
            </w:pPr>
            <w:r>
              <w:rPr>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rPr>
                <w:sz w:val="24"/>
                <w:szCs w:val="24"/>
                <w:lang w:eastAsia="ru-RU"/>
              </w:rPr>
            </w:pPr>
          </w:p>
          <w:p>
            <w:pPr>
              <w:spacing w:after="0" w:line="240" w:lineRule="auto"/>
              <w:jc w:val="both"/>
              <w:rPr>
                <w:sz w:val="24"/>
                <w:szCs w:val="24"/>
                <w:lang w:eastAsia="ru-RU"/>
              </w:rPr>
            </w:pPr>
            <w:r>
              <w:rPr>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11</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333333"/>
                <w:sz w:val="15"/>
                <w:szCs w:val="15"/>
                <w:shd w:val="clear" w:color="auto" w:fill="FFFFFF"/>
              </w:rPr>
            </w:pPr>
            <w:r>
              <w:rPr>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instrText xml:space="preserve"> HYPERLINK "https://zakon.rada.gov.ua/laws/show/1644-18" \t "_blank" </w:instrText>
            </w:r>
            <w:r>
              <w:fldChar w:fldCharType="separate"/>
            </w:r>
            <w:r>
              <w:rPr>
                <w:color w:val="000000"/>
                <w:sz w:val="24"/>
                <w:szCs w:val="24"/>
                <w:lang w:eastAsia="ru-RU"/>
              </w:rPr>
              <w:t>Законом України</w:t>
            </w:r>
            <w:r>
              <w:rPr>
                <w:color w:val="000000"/>
                <w:sz w:val="24"/>
                <w:szCs w:val="24"/>
                <w:lang w:eastAsia="ru-RU"/>
              </w:rPr>
              <w:fldChar w:fldCharType="end"/>
            </w:r>
            <w:r>
              <w:rPr>
                <w:color w:val="000000"/>
                <w:sz w:val="24"/>
                <w:szCs w:val="24"/>
                <w:lang w:eastAsia="ru-RU"/>
              </w:rPr>
              <w:t> “Про санкції”;</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12</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right="115"/>
              <w:jc w:val="both"/>
              <w:rPr>
                <w:color w:val="333333"/>
                <w:sz w:val="15"/>
                <w:szCs w:val="15"/>
                <w:shd w:val="clear" w:color="auto" w:fill="FFFFFF"/>
              </w:rPr>
            </w:pPr>
            <w:r>
              <w:rPr>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 знятої чи непогашеної</w:t>
            </w:r>
          </w:p>
          <w:p>
            <w:pPr>
              <w:spacing w:after="0" w:line="240" w:lineRule="auto"/>
              <w:jc w:val="both"/>
              <w:rPr>
                <w:sz w:val="24"/>
                <w:szCs w:val="24"/>
                <w:lang w:eastAsia="ru-RU"/>
              </w:rPr>
            </w:pPr>
            <w:r>
              <w:rPr>
                <w:color w:val="000000"/>
                <w:sz w:val="24"/>
                <w:szCs w:val="24"/>
                <w:lang w:eastAsia="ru-RU"/>
              </w:rPr>
              <w:t>судимості не має та в розшуку не перебуває.</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13</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Замовник не вимагає підтвердження відповідно до пункту 44 Особливостей</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не вимагає підтвердження відповідно до пункту 44 Особливостей</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14</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hd w:val="clear" w:color="auto" w:fill="FFFFFF"/>
              <w:spacing w:after="150" w:line="240" w:lineRule="auto"/>
              <w:jc w:val="both"/>
              <w:rPr>
                <w:color w:val="000000"/>
                <w:sz w:val="24"/>
                <w:szCs w:val="24"/>
                <w:shd w:val="clear" w:color="auto" w:fill="FFFFFF"/>
                <w:lang w:eastAsia="ru-RU"/>
              </w:rPr>
            </w:pPr>
            <w:r>
              <w:rPr>
                <w:color w:val="000000"/>
                <w:sz w:val="24"/>
                <w:szCs w:val="24"/>
                <w:shd w:val="clear" w:color="auto" w:fill="FFFFFF"/>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693" w:type="dxa"/>
            <w:tcBorders>
              <w:top w:val="single" w:color="000000" w:sz="4" w:space="0"/>
              <w:left w:val="single" w:color="000000" w:sz="4" w:space="0"/>
              <w:bottom w:val="single" w:color="000000" w:sz="4" w:space="0"/>
              <w:right w:val="single" w:color="000000" w:sz="4" w:space="0"/>
            </w:tcBorders>
          </w:tcPr>
          <w:p>
            <w:pPr>
              <w:spacing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sz w:val="24"/>
                <w:szCs w:val="24"/>
                <w:lang w:eastAsia="ru-RU"/>
              </w:rPr>
              <w:t xml:space="preserve"> </w:t>
            </w:r>
            <w:r>
              <w:rPr>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sz w:val="24"/>
                <w:szCs w:val="24"/>
                <w:lang w:eastAsia="ru-RU"/>
              </w:rPr>
            </w:pPr>
            <w:r>
              <w:rPr>
                <w:color w:val="000000"/>
                <w:sz w:val="24"/>
                <w:szCs w:val="24"/>
                <w:lang w:eastAsia="ru-RU"/>
              </w:rPr>
              <w:t>або </w:t>
            </w:r>
          </w:p>
          <w:p>
            <w:pPr>
              <w:spacing w:line="240" w:lineRule="auto"/>
              <w:jc w:val="both"/>
              <w:rPr>
                <w:sz w:val="24"/>
                <w:szCs w:val="24"/>
                <w:lang w:eastAsia="ru-RU"/>
              </w:rPr>
            </w:pPr>
            <w:r>
              <w:rPr>
                <w:color w:val="000000"/>
                <w:sz w:val="24"/>
                <w:szCs w:val="24"/>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sz w:val="24"/>
                <w:szCs w:val="24"/>
                <w:lang w:eastAsia="ru-RU"/>
              </w:rPr>
            </w:pPr>
          </w:p>
          <w:p>
            <w:pPr>
              <w:spacing w:after="0" w:line="240" w:lineRule="auto"/>
              <w:jc w:val="both"/>
              <w:rPr>
                <w:sz w:val="24"/>
                <w:szCs w:val="24"/>
                <w:lang w:eastAsia="ru-RU"/>
              </w:rPr>
            </w:pPr>
            <w:r>
              <w:rPr>
                <w:color w:val="000000"/>
                <w:sz w:val="24"/>
                <w:szCs w:val="24"/>
                <w:lang w:eastAsia="ru-RU"/>
              </w:rPr>
              <w:t>або</w:t>
            </w:r>
          </w:p>
          <w:p>
            <w:pPr>
              <w:spacing w:after="0" w:line="240" w:lineRule="auto"/>
              <w:rPr>
                <w:sz w:val="24"/>
                <w:szCs w:val="24"/>
                <w:lang w:eastAsia="ru-RU"/>
              </w:rPr>
            </w:pPr>
          </w:p>
          <w:p>
            <w:pPr>
              <w:spacing w:after="0" w:line="240" w:lineRule="auto"/>
              <w:jc w:val="both"/>
              <w:rPr>
                <w:sz w:val="24"/>
                <w:szCs w:val="24"/>
                <w:lang w:eastAsia="ru-RU"/>
              </w:rPr>
            </w:pPr>
            <w:r>
              <w:rPr>
                <w:color w:val="000000"/>
                <w:sz w:val="24"/>
                <w:szCs w:val="24"/>
                <w:lang w:eastAsia="ru-RU"/>
              </w:rPr>
              <w:t>Переможець процедури закупівлі, що перебуває в обставинах, зазначених у п.44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відшкодуванні завданих збитків.</w:t>
            </w:r>
          </w:p>
        </w:tc>
      </w:tr>
    </w:tbl>
    <w:p>
      <w:pPr>
        <w:pStyle w:val="22"/>
        <w:shd w:val="clear" w:color="auto" w:fill="FFFFFF"/>
        <w:spacing w:before="0" w:beforeAutospacing="0" w:after="0" w:afterAutospacing="0"/>
        <w:ind w:firstLine="277"/>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"n401" </w:instrText>
      </w:r>
      <w:r>
        <w:fldChar w:fldCharType="separate"/>
      </w:r>
      <w:r>
        <w:rPr>
          <w:rStyle w:val="16"/>
          <w:color w:val="auto"/>
        </w:rPr>
        <w:t>підпунктах 3</w:t>
      </w:r>
      <w:r>
        <w:rPr>
          <w:rStyle w:val="16"/>
          <w:color w:val="auto"/>
        </w:rPr>
        <w:fldChar w:fldCharType="end"/>
      </w:r>
      <w:r>
        <w:t>, </w:t>
      </w:r>
      <w:r>
        <w:fldChar w:fldCharType="begin"/>
      </w:r>
      <w:r>
        <w:instrText xml:space="preserve"> HYPERLINK "https://zakon.rada.gov.ua/laws/show/1178-2022-%D0%BF" \l "n403" </w:instrText>
      </w:r>
      <w:r>
        <w:fldChar w:fldCharType="separate"/>
      </w:r>
      <w:r>
        <w:rPr>
          <w:rStyle w:val="16"/>
          <w:color w:val="auto"/>
        </w:rPr>
        <w:t>5</w:t>
      </w:r>
      <w:r>
        <w:rPr>
          <w:rStyle w:val="16"/>
          <w:color w:val="auto"/>
        </w:rPr>
        <w:fldChar w:fldCharType="end"/>
      </w:r>
      <w:r>
        <w:t>, </w:t>
      </w:r>
      <w:r>
        <w:fldChar w:fldCharType="begin"/>
      </w:r>
      <w:r>
        <w:instrText xml:space="preserve"> HYPERLINK "https://zakon.rada.gov.ua/laws/show/1178-2022-%D0%BF" \l "n404" </w:instrText>
      </w:r>
      <w:r>
        <w:fldChar w:fldCharType="separate"/>
      </w:r>
      <w:r>
        <w:rPr>
          <w:rStyle w:val="16"/>
          <w:color w:val="auto"/>
        </w:rPr>
        <w:t>6</w:t>
      </w:r>
      <w:r>
        <w:rPr>
          <w:rStyle w:val="16"/>
          <w:color w:val="auto"/>
        </w:rPr>
        <w:fldChar w:fldCharType="end"/>
      </w:r>
      <w:r>
        <w:t> і </w:t>
      </w:r>
      <w:r>
        <w:fldChar w:fldCharType="begin"/>
      </w:r>
      <w:r>
        <w:instrText xml:space="preserve"> HYPERLINK "https://zakon.rada.gov.ua/laws/show/1178-2022-%D0%BF" \l "n410" </w:instrText>
      </w:r>
      <w:r>
        <w:fldChar w:fldCharType="separate"/>
      </w:r>
      <w:r>
        <w:rPr>
          <w:rStyle w:val="16"/>
          <w:color w:val="auto"/>
        </w:rPr>
        <w:t>12</w:t>
      </w:r>
      <w:r>
        <w:rPr>
          <w:rStyle w:val="16"/>
          <w:color w:val="auto"/>
        </w:rPr>
        <w:fldChar w:fldCharType="end"/>
      </w:r>
      <w:r>
        <w:t> та в </w:t>
      </w:r>
      <w:r>
        <w:fldChar w:fldCharType="begin"/>
      </w:r>
      <w:r>
        <w:instrText xml:space="preserve"> HYPERLINK "https://zakon.rada.gov.ua/laws/show/1178-2022-%D0%BF" \l "n411" </w:instrText>
      </w:r>
      <w:r>
        <w:fldChar w:fldCharType="separate"/>
      </w:r>
      <w:r>
        <w:rPr>
          <w:rStyle w:val="16"/>
          <w:color w:val="auto"/>
        </w:rPr>
        <w:t>абзаці чотирнадцятому</w:t>
      </w:r>
      <w:r>
        <w:rPr>
          <w:rStyle w:val="16"/>
          <w:color w:val="auto"/>
        </w:rPr>
        <w:fldChar w:fldCharType="end"/>
      </w:r>
      <w:r>
        <w:t>  пункту 44 Особливостей.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16"/>
          <w:color w:val="auto"/>
        </w:rPr>
        <w:t>Законом України</w:t>
      </w:r>
      <w:r>
        <w:rPr>
          <w:rStyle w:val="16"/>
          <w:color w:val="auto"/>
        </w:rPr>
        <w:fldChar w:fldCharType="end"/>
      </w:r>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22"/>
        <w:shd w:val="clear" w:color="auto" w:fill="FFFFFF"/>
        <w:spacing w:before="0" w:beforeAutospacing="0" w:after="0" w:afterAutospacing="0"/>
        <w:ind w:firstLine="277"/>
        <w:jc w:val="both"/>
      </w:pPr>
      <w:bookmarkStart w:id="1" w:name="n413"/>
      <w:bookmarkEnd w:id="1"/>
      <w:r>
        <w:t>Учасник процедури закупівлі підтверджує відсутність підстав, зазначених в  пункті 44 Особливостей (крім </w:t>
      </w:r>
      <w:r>
        <w:fldChar w:fldCharType="begin"/>
      </w:r>
      <w:r>
        <w:instrText xml:space="preserve"> HYPERLINK "https://zakon.rada.gov.ua/laws/show/1178-2022-%D0%BF" \l "n411" </w:instrText>
      </w:r>
      <w:r>
        <w:fldChar w:fldCharType="separate"/>
      </w:r>
      <w:r>
        <w:rPr>
          <w:rStyle w:val="16"/>
          <w:color w:val="auto"/>
        </w:rPr>
        <w:t>абзацу чотирнадцятого</w:t>
      </w:r>
      <w:r>
        <w:rPr>
          <w:rStyle w:val="16"/>
          <w:color w:val="auto"/>
        </w:rPr>
        <w:fldChar w:fldCharType="end"/>
      </w:r>
      <w:r>
        <w:t> ), шляхом самостійного декларування відсутності таких підстав в електронній системі закупівель під час подання тендерної пропозиції.</w:t>
      </w:r>
    </w:p>
    <w:p>
      <w:pPr>
        <w:spacing w:after="0" w:line="240" w:lineRule="auto"/>
        <w:jc w:val="both"/>
        <w:rPr>
          <w:color w:val="000000"/>
          <w:sz w:val="24"/>
          <w:szCs w:val="24"/>
          <w:lang w:eastAsia="ru-RU"/>
        </w:rPr>
      </w:pPr>
      <w:bookmarkStart w:id="2" w:name="n414"/>
      <w:bookmarkEnd w:id="2"/>
      <w:bookmarkStart w:id="3" w:name="n415"/>
      <w:bookmarkEnd w:id="3"/>
    </w:p>
    <w:p>
      <w:pPr>
        <w:spacing w:line="240" w:lineRule="auto"/>
        <w:rPr>
          <w:b/>
          <w:sz w:val="22"/>
        </w:rPr>
      </w:pPr>
    </w:p>
    <w:p>
      <w:pPr>
        <w:spacing w:after="0" w:line="240" w:lineRule="auto"/>
        <w:ind w:right="196"/>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b/>
          <w:color w:val="000000"/>
          <w:sz w:val="22"/>
          <w:lang w:eastAsia="ru-RU"/>
        </w:rPr>
      </w:pPr>
      <w:r>
        <w:rPr>
          <w:b/>
          <w:color w:val="000000"/>
          <w:sz w:val="22"/>
          <w:lang w:eastAsia="ru-RU"/>
        </w:rPr>
        <w:t>Додаток № 3</w:t>
      </w:r>
      <w:r>
        <w:rPr>
          <w:b/>
          <w:bCs/>
          <w:color w:val="000000"/>
          <w:sz w:val="24"/>
          <w:szCs w:val="24"/>
          <w:lang w:eastAsia="ru-RU"/>
        </w:rPr>
        <w:t xml:space="preserve"> до тендерної документації</w:t>
      </w:r>
    </w:p>
    <w:p>
      <w:pPr>
        <w:spacing w:after="60" w:line="240" w:lineRule="auto"/>
        <w:rPr>
          <w:color w:val="000000"/>
          <w:sz w:val="22"/>
          <w:lang w:eastAsia="ru-RU"/>
        </w:rPr>
      </w:pPr>
    </w:p>
    <w:p>
      <w:pPr>
        <w:keepNext/>
        <w:tabs>
          <w:tab w:val="left" w:pos="708"/>
        </w:tabs>
        <w:suppressAutoHyphens/>
        <w:spacing w:after="0"/>
        <w:jc w:val="center"/>
        <w:outlineLvl w:val="0"/>
        <w:rPr>
          <w:kern w:val="2"/>
          <w:sz w:val="22"/>
          <w:lang w:eastAsia="uk-UA"/>
        </w:rPr>
      </w:pPr>
      <w:r>
        <w:rPr>
          <w:b/>
          <w:bCs/>
          <w:caps/>
          <w:kern w:val="2"/>
          <w:sz w:val="22"/>
          <w:lang w:eastAsia="ar-SA"/>
        </w:rPr>
        <w:t>ТехнічнА СПЕЦИФІКАЦІЯ</w:t>
      </w:r>
    </w:p>
    <w:p>
      <w:pPr>
        <w:spacing w:after="0"/>
        <w:jc w:val="center"/>
        <w:rPr>
          <w:b/>
          <w:bCs/>
          <w:sz w:val="22"/>
          <w:lang w:eastAsia="uk-UA"/>
        </w:rPr>
      </w:pPr>
      <w:r>
        <w:rPr>
          <w:b/>
          <w:bCs/>
          <w:sz w:val="22"/>
          <w:lang w:eastAsia="uk-UA"/>
        </w:rPr>
        <w:t xml:space="preserve">Інформація про необхідні технічні, якісні та кількісні характеристики товару </w:t>
      </w:r>
    </w:p>
    <w:p>
      <w:pPr>
        <w:spacing w:after="0"/>
        <w:jc w:val="center"/>
        <w:rPr>
          <w:b/>
          <w:bCs/>
          <w:sz w:val="22"/>
          <w:lang w:eastAsia="uk-UA"/>
        </w:rPr>
      </w:pPr>
    </w:p>
    <w:p>
      <w:pPr>
        <w:spacing w:after="0" w:line="240" w:lineRule="auto"/>
        <w:ind w:firstLine="708"/>
        <w:jc w:val="both"/>
        <w:rPr>
          <w:bCs/>
          <w:sz w:val="24"/>
          <w:szCs w:val="24"/>
          <w:lang w:eastAsia="uk-UA"/>
        </w:rPr>
      </w:pPr>
      <w:r>
        <w:rPr>
          <w:bCs/>
          <w:sz w:val="24"/>
          <w:szCs w:val="24"/>
          <w:lang w:eastAsia="uk-UA"/>
        </w:rPr>
        <w:t xml:space="preserve">1.Обсяги та предмет закупівлі: </w:t>
      </w:r>
      <w:r>
        <w:rPr>
          <w:color w:val="000000"/>
          <w:sz w:val="24"/>
          <w:szCs w:val="24"/>
          <w:lang w:eastAsia="uk-UA"/>
        </w:rPr>
        <w:t>Код ДК 021:2015: 32440000-9 Телеметричне та термінальне обладнання - термінал виконавчого пункту  СУГО «або еквівалент»,  робоча станція диспетчерського пункту з програмним забезпеченням</w:t>
      </w:r>
    </w:p>
    <w:tbl>
      <w:tblPr>
        <w:tblStyle w:val="6"/>
        <w:tblW w:w="0" w:type="auto"/>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724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vAlign w:val="center"/>
          </w:tcPr>
          <w:p>
            <w:pPr>
              <w:spacing w:after="0" w:line="240" w:lineRule="auto"/>
              <w:jc w:val="center"/>
              <w:rPr>
                <w:sz w:val="24"/>
                <w:szCs w:val="24"/>
              </w:rPr>
            </w:pPr>
            <w:r>
              <w:rPr>
                <w:sz w:val="24"/>
                <w:szCs w:val="24"/>
              </w:rPr>
              <w:t>№</w:t>
            </w:r>
          </w:p>
        </w:tc>
        <w:tc>
          <w:tcPr>
            <w:tcW w:w="7244" w:type="dxa"/>
            <w:vAlign w:val="center"/>
          </w:tcPr>
          <w:p>
            <w:pPr>
              <w:spacing w:after="0" w:line="240" w:lineRule="auto"/>
              <w:jc w:val="center"/>
              <w:rPr>
                <w:sz w:val="24"/>
                <w:szCs w:val="24"/>
              </w:rPr>
            </w:pPr>
            <w:r>
              <w:rPr>
                <w:sz w:val="24"/>
                <w:szCs w:val="24"/>
              </w:rPr>
              <w:t>Найменування</w:t>
            </w:r>
          </w:p>
        </w:tc>
        <w:tc>
          <w:tcPr>
            <w:tcW w:w="1367" w:type="dxa"/>
            <w:vAlign w:val="center"/>
          </w:tcPr>
          <w:p>
            <w:pPr>
              <w:spacing w:after="0" w:line="240" w:lineRule="auto"/>
              <w:jc w:val="center"/>
              <w:rPr>
                <w:sz w:val="24"/>
                <w:szCs w:val="24"/>
              </w:rPr>
            </w:pPr>
            <w:r>
              <w:rPr>
                <w:sz w:val="24"/>
                <w:szCs w:val="24"/>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66" w:type="dxa"/>
            <w:vAlign w:val="center"/>
          </w:tcPr>
          <w:p>
            <w:pPr>
              <w:spacing w:after="0" w:line="240" w:lineRule="auto"/>
              <w:jc w:val="center"/>
              <w:rPr>
                <w:sz w:val="24"/>
                <w:szCs w:val="24"/>
              </w:rPr>
            </w:pPr>
            <w:r>
              <w:rPr>
                <w:sz w:val="24"/>
                <w:szCs w:val="24"/>
              </w:rPr>
              <w:t>1</w:t>
            </w:r>
          </w:p>
        </w:tc>
        <w:tc>
          <w:tcPr>
            <w:tcW w:w="7244" w:type="dxa"/>
          </w:tcPr>
          <w:p>
            <w:pPr>
              <w:spacing w:after="0" w:line="240" w:lineRule="auto"/>
              <w:rPr>
                <w:sz w:val="24"/>
                <w:szCs w:val="24"/>
              </w:rPr>
            </w:pPr>
            <w:r>
              <w:rPr>
                <w:sz w:val="24"/>
                <w:szCs w:val="24"/>
              </w:rPr>
              <w:t xml:space="preserve">Термінал виконавчого пункту </w:t>
            </w:r>
          </w:p>
          <w:p>
            <w:pPr>
              <w:spacing w:after="0" w:line="240" w:lineRule="auto"/>
              <w:rPr>
                <w:sz w:val="24"/>
                <w:szCs w:val="24"/>
              </w:rPr>
            </w:pPr>
            <w:r>
              <w:rPr>
                <w:sz w:val="24"/>
                <w:szCs w:val="24"/>
              </w:rPr>
              <w:t xml:space="preserve"> СУГО«або еквівалент»</w:t>
            </w:r>
          </w:p>
        </w:tc>
        <w:tc>
          <w:tcPr>
            <w:tcW w:w="1367" w:type="dxa"/>
            <w:vAlign w:val="center"/>
          </w:tcPr>
          <w:p>
            <w:pPr>
              <w:spacing w:after="0" w:line="240" w:lineRule="auto"/>
              <w:jc w:val="center"/>
              <w:rPr>
                <w:rFonts w:hint="default"/>
                <w:sz w:val="24"/>
                <w:szCs w:val="24"/>
                <w:lang w:val="uk-UA"/>
              </w:rPr>
            </w:pPr>
            <w:r>
              <w:rPr>
                <w:rFonts w:hint="default"/>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66" w:type="dxa"/>
            <w:vAlign w:val="center"/>
          </w:tcPr>
          <w:p>
            <w:pPr>
              <w:spacing w:after="0" w:line="240" w:lineRule="auto"/>
              <w:jc w:val="center"/>
              <w:rPr>
                <w:rFonts w:hint="default"/>
                <w:sz w:val="24"/>
                <w:szCs w:val="24"/>
                <w:lang w:val="uk-UA"/>
              </w:rPr>
            </w:pPr>
            <w:r>
              <w:rPr>
                <w:rFonts w:hint="default"/>
                <w:sz w:val="24"/>
                <w:szCs w:val="24"/>
                <w:lang w:val="uk-UA"/>
              </w:rPr>
              <w:t>2</w:t>
            </w:r>
          </w:p>
        </w:tc>
        <w:tc>
          <w:tcPr>
            <w:tcW w:w="7244" w:type="dxa"/>
          </w:tcPr>
          <w:p>
            <w:pPr>
              <w:spacing w:after="0" w:line="240" w:lineRule="auto"/>
              <w:rPr>
                <w:sz w:val="24"/>
                <w:szCs w:val="24"/>
              </w:rPr>
            </w:pPr>
            <w:r>
              <w:rPr>
                <w:sz w:val="24"/>
                <w:szCs w:val="24"/>
              </w:rPr>
              <w:t>Робоча станція диспетчерського пункту</w:t>
            </w:r>
            <w:r>
              <w:rPr>
                <w:sz w:val="24"/>
                <w:szCs w:val="24"/>
                <w:lang w:val="ru-RU"/>
              </w:rPr>
              <w:t xml:space="preserve"> </w:t>
            </w:r>
            <w:r>
              <w:rPr>
                <w:sz w:val="24"/>
                <w:szCs w:val="24"/>
              </w:rPr>
              <w:t>з програмним забезпеченням</w:t>
            </w:r>
          </w:p>
        </w:tc>
        <w:tc>
          <w:tcPr>
            <w:tcW w:w="1367" w:type="dxa"/>
            <w:vAlign w:val="center"/>
          </w:tcPr>
          <w:p>
            <w:pPr>
              <w:spacing w:after="0" w:line="240" w:lineRule="auto"/>
              <w:jc w:val="center"/>
              <w:rPr>
                <w:sz w:val="24"/>
                <w:szCs w:val="24"/>
              </w:rPr>
            </w:pPr>
            <w:r>
              <w:rPr>
                <w:sz w:val="24"/>
                <w:szCs w:val="24"/>
              </w:rPr>
              <w:t>1</w:t>
            </w:r>
          </w:p>
        </w:tc>
      </w:tr>
    </w:tbl>
    <w:p>
      <w:pPr>
        <w:spacing w:after="0"/>
        <w:rPr>
          <w:rFonts w:ascii="Arial" w:hAnsi="Arial" w:cs="Arial"/>
          <w:b/>
          <w:sz w:val="24"/>
          <w:szCs w:val="24"/>
        </w:rPr>
      </w:pPr>
    </w:p>
    <w:p>
      <w:pPr>
        <w:numPr>
          <w:ilvl w:val="1"/>
          <w:numId w:val="11"/>
        </w:numPr>
        <w:spacing w:after="0" w:line="240" w:lineRule="auto"/>
        <w:jc w:val="center"/>
        <w:rPr>
          <w:b/>
          <w:sz w:val="24"/>
          <w:szCs w:val="24"/>
        </w:rPr>
      </w:pPr>
      <w:r>
        <w:rPr>
          <w:b/>
          <w:sz w:val="24"/>
          <w:szCs w:val="24"/>
        </w:rPr>
        <w:t>2.  Вимоги до системи керування зовнішнім освітленням в цілому.</w:t>
      </w:r>
    </w:p>
    <w:p>
      <w:pPr>
        <w:autoSpaceDE w:val="0"/>
        <w:autoSpaceDN w:val="0"/>
        <w:adjustRightInd w:val="0"/>
        <w:spacing w:after="0" w:line="240" w:lineRule="auto"/>
        <w:jc w:val="both"/>
        <w:rPr>
          <w:sz w:val="24"/>
          <w:szCs w:val="24"/>
        </w:rPr>
      </w:pPr>
      <w:r>
        <w:rPr>
          <w:sz w:val="24"/>
          <w:szCs w:val="24"/>
        </w:rPr>
        <w:t xml:space="preserve">Устаткування повинно бути призначене для </w:t>
      </w:r>
      <w:r>
        <w:rPr>
          <w:b/>
          <w:sz w:val="24"/>
          <w:szCs w:val="24"/>
        </w:rPr>
        <w:t xml:space="preserve">розширення застосування існуючої системи </w:t>
      </w:r>
      <w:r>
        <w:rPr>
          <w:sz w:val="24"/>
          <w:szCs w:val="24"/>
        </w:rPr>
        <w:t xml:space="preserve">моніторингу  і управління  віддаленими об'єктами  </w:t>
      </w:r>
    </w:p>
    <w:p>
      <w:pPr>
        <w:autoSpaceDE w:val="0"/>
        <w:autoSpaceDN w:val="0"/>
        <w:adjustRightInd w:val="0"/>
        <w:spacing w:after="0" w:line="240" w:lineRule="auto"/>
        <w:jc w:val="both"/>
        <w:rPr>
          <w:sz w:val="24"/>
          <w:szCs w:val="24"/>
        </w:rPr>
      </w:pPr>
      <w:r>
        <w:rPr>
          <w:sz w:val="24"/>
          <w:szCs w:val="24"/>
        </w:rPr>
        <w:tab/>
      </w:r>
      <w:r>
        <w:rPr>
          <w:sz w:val="24"/>
          <w:szCs w:val="24"/>
        </w:rPr>
        <w:t>- диспетчерського  центру, що складається  з  персонального комп'ютера, спеціалізованого  програмного забезпечення.</w:t>
      </w:r>
    </w:p>
    <w:p>
      <w:pPr>
        <w:pStyle w:val="17"/>
        <w:spacing w:before="0" w:beforeAutospacing="0" w:after="0" w:afterAutospacing="0"/>
        <w:jc w:val="center"/>
        <w:rPr>
          <w:b/>
          <w:lang w:val="uk-UA"/>
        </w:rPr>
      </w:pPr>
      <w:r>
        <w:rPr>
          <w:b/>
          <w:lang w:val="uk-UA"/>
        </w:rPr>
        <w:t>3. Вимоги до способів і засобів зв’язку:</w:t>
      </w:r>
    </w:p>
    <w:p>
      <w:pPr>
        <w:pStyle w:val="17"/>
        <w:spacing w:before="0" w:beforeAutospacing="0" w:after="0" w:afterAutospacing="0"/>
        <w:ind w:firstLine="708"/>
        <w:jc w:val="both"/>
        <w:rPr>
          <w:lang w:val="uk-UA"/>
        </w:rPr>
      </w:pPr>
      <w:r>
        <w:rPr>
          <w:lang w:val="uk-UA"/>
        </w:rPr>
        <w:t xml:space="preserve">Диспетчерський пункт та термінали виконавчих пунктів повинні обмінюватись інформацією між собою за допомогою каналу інтернет, використовувати для цього модулі інформаційної взаємодії, які входять до їх складу. </w:t>
      </w:r>
    </w:p>
    <w:p>
      <w:pPr>
        <w:pStyle w:val="17"/>
        <w:spacing w:before="0" w:beforeAutospacing="0" w:after="0" w:afterAutospacing="0"/>
        <w:jc w:val="center"/>
        <w:rPr>
          <w:b/>
          <w:lang w:val="uk-UA"/>
        </w:rPr>
      </w:pPr>
      <w:r>
        <w:rPr>
          <w:b/>
          <w:lang w:val="uk-UA"/>
        </w:rPr>
        <w:t>4.Вимоги до режимів функціонування системи</w:t>
      </w:r>
    </w:p>
    <w:p>
      <w:pPr>
        <w:pStyle w:val="17"/>
        <w:spacing w:before="0" w:beforeAutospacing="0" w:after="0" w:afterAutospacing="0"/>
        <w:jc w:val="both"/>
        <w:rPr>
          <w:lang w:val="uk-UA"/>
        </w:rPr>
      </w:pPr>
      <w:r>
        <w:rPr>
          <w:lang w:val="uk-UA"/>
        </w:rPr>
        <w:t>Обладнання повинно забезпечувати  наступні режими функціонування:</w:t>
      </w:r>
    </w:p>
    <w:p>
      <w:pPr>
        <w:pStyle w:val="17"/>
        <w:spacing w:before="0" w:beforeAutospacing="0" w:after="0" w:afterAutospacing="0"/>
        <w:jc w:val="both"/>
        <w:rPr>
          <w:lang w:val="uk-UA"/>
        </w:rPr>
      </w:pPr>
      <w:r>
        <w:rPr>
          <w:lang w:val="uk-UA"/>
        </w:rPr>
        <w:t>- Режим автономної роботи;</w:t>
      </w:r>
    </w:p>
    <w:p>
      <w:pPr>
        <w:pStyle w:val="17"/>
        <w:spacing w:before="0" w:beforeAutospacing="0" w:after="0" w:afterAutospacing="0"/>
        <w:jc w:val="both"/>
        <w:rPr>
          <w:lang w:val="uk-UA"/>
        </w:rPr>
      </w:pPr>
      <w:r>
        <w:rPr>
          <w:lang w:val="uk-UA"/>
        </w:rPr>
        <w:t>- Аварійний режим;</w:t>
      </w:r>
    </w:p>
    <w:p>
      <w:pPr>
        <w:pStyle w:val="17"/>
        <w:spacing w:before="0" w:beforeAutospacing="0" w:after="0" w:afterAutospacing="0"/>
        <w:jc w:val="both"/>
        <w:rPr>
          <w:lang w:val="uk-UA"/>
        </w:rPr>
      </w:pPr>
      <w:r>
        <w:rPr>
          <w:lang w:val="uk-UA"/>
        </w:rPr>
        <w:t>- Режим ручного керування.</w:t>
      </w:r>
    </w:p>
    <w:p>
      <w:pPr>
        <w:pStyle w:val="17"/>
        <w:spacing w:before="0" w:beforeAutospacing="0" w:after="0" w:afterAutospacing="0"/>
        <w:jc w:val="both"/>
        <w:rPr>
          <w:lang w:val="uk-UA"/>
        </w:rPr>
      </w:pPr>
      <w:r>
        <w:rPr>
          <w:lang w:val="uk-UA"/>
        </w:rPr>
        <w:t xml:space="preserve">Під час роботи в автономному режимі функціонування обладнання диспетчерського центру:  </w:t>
      </w:r>
    </w:p>
    <w:p>
      <w:pPr>
        <w:pStyle w:val="17"/>
        <w:spacing w:before="0" w:beforeAutospacing="0" w:after="0" w:afterAutospacing="0"/>
        <w:jc w:val="both"/>
        <w:rPr>
          <w:lang w:val="uk-UA"/>
        </w:rPr>
      </w:pPr>
      <w:r>
        <w:rPr>
          <w:lang w:val="uk-UA"/>
        </w:rPr>
        <w:tab/>
      </w:r>
      <w:r>
        <w:rPr>
          <w:lang w:val="uk-UA"/>
        </w:rPr>
        <w:t>- приймає,  перевіряє на коректність і реєструє  в базі даних квитанції про штатні події у виконавчих пунктах Системи;</w:t>
      </w:r>
    </w:p>
    <w:p>
      <w:pPr>
        <w:pStyle w:val="17"/>
        <w:spacing w:before="0" w:beforeAutospacing="0" w:after="0" w:afterAutospacing="0"/>
        <w:jc w:val="both"/>
        <w:rPr>
          <w:lang w:val="uk-UA"/>
        </w:rPr>
      </w:pPr>
      <w:r>
        <w:rPr>
          <w:lang w:val="uk-UA"/>
        </w:rPr>
        <w:tab/>
      </w:r>
      <w:r>
        <w:rPr>
          <w:lang w:val="uk-UA"/>
        </w:rPr>
        <w:t>- приймає і реєструє в базі даних дані отримані через порт RS-485 у виконавчих пунктах Системи;</w:t>
      </w:r>
    </w:p>
    <w:p>
      <w:pPr>
        <w:pStyle w:val="17"/>
        <w:spacing w:before="0" w:beforeAutospacing="0" w:after="0" w:afterAutospacing="0"/>
        <w:jc w:val="both"/>
        <w:rPr>
          <w:lang w:val="uk-UA"/>
        </w:rPr>
      </w:pPr>
      <w:r>
        <w:rPr>
          <w:lang w:val="uk-UA"/>
        </w:rPr>
        <w:tab/>
      </w:r>
      <w:r>
        <w:rPr>
          <w:lang w:val="uk-UA"/>
        </w:rPr>
        <w:t>- здійснює синхронізацію часу всіх терміналів виконавчих пунктів;</w:t>
      </w:r>
    </w:p>
    <w:p>
      <w:pPr>
        <w:pStyle w:val="17"/>
        <w:spacing w:before="0" w:beforeAutospacing="0" w:after="0" w:afterAutospacing="0"/>
        <w:jc w:val="both"/>
        <w:rPr>
          <w:lang w:val="uk-UA"/>
        </w:rPr>
      </w:pPr>
      <w:r>
        <w:rPr>
          <w:lang w:val="uk-UA"/>
        </w:rPr>
        <w:tab/>
      </w:r>
      <w:r>
        <w:rPr>
          <w:lang w:val="uk-UA"/>
        </w:rPr>
        <w:t>- по запиту диспетчера   готує   ті   або інші звіти з бази даних.</w:t>
      </w:r>
    </w:p>
    <w:p>
      <w:pPr>
        <w:pStyle w:val="17"/>
        <w:spacing w:before="0" w:beforeAutospacing="0" w:after="0" w:afterAutospacing="0"/>
        <w:jc w:val="both"/>
        <w:rPr>
          <w:lang w:val="uk-UA"/>
        </w:rPr>
      </w:pPr>
      <w:r>
        <w:rPr>
          <w:lang w:val="uk-UA"/>
        </w:rPr>
        <w:t>Аварійний режим функціонування системи повинен характеризуватися відмовою одного або декількох компонентів програмного або технічного забезпечення.</w:t>
      </w:r>
    </w:p>
    <w:p>
      <w:pPr>
        <w:pStyle w:val="17"/>
        <w:spacing w:before="0" w:beforeAutospacing="0" w:after="0" w:afterAutospacing="0"/>
        <w:jc w:val="both"/>
        <w:rPr>
          <w:lang w:val="uk-UA"/>
        </w:rPr>
      </w:pPr>
      <w:r>
        <w:rPr>
          <w:lang w:val="uk-UA"/>
        </w:rPr>
        <w:t>Диспетчерський     центр     при    виявленні   ознак   аварії   в словах   змісту   отримуваних   квитанцій  повинен забезпечувати формування  відповідного графічного   зображення   основних    компонентів  виконавчого  пункту  - ШУЗО:</w:t>
      </w:r>
    </w:p>
    <w:p>
      <w:pPr>
        <w:pStyle w:val="17"/>
        <w:spacing w:before="0" w:beforeAutospacing="0" w:after="0" w:afterAutospacing="0"/>
        <w:jc w:val="both"/>
        <w:rPr>
          <w:lang w:val="uk-UA"/>
        </w:rPr>
      </w:pPr>
      <w:r>
        <w:rPr>
          <w:lang w:val="uk-UA"/>
        </w:rPr>
        <w:tab/>
      </w:r>
      <w:r>
        <w:rPr>
          <w:lang w:val="uk-UA"/>
        </w:rPr>
        <w:t>- виділення   кольором  на  екрані аварійні виконавчі пункти, відповідні аварійним ситуаціям;</w:t>
      </w:r>
    </w:p>
    <w:p>
      <w:pPr>
        <w:pStyle w:val="17"/>
        <w:spacing w:before="0" w:beforeAutospacing="0" w:after="0" w:afterAutospacing="0"/>
        <w:jc w:val="both"/>
        <w:rPr>
          <w:lang w:val="uk-UA"/>
        </w:rPr>
      </w:pPr>
      <w:r>
        <w:rPr>
          <w:lang w:val="uk-UA"/>
        </w:rPr>
        <w:tab/>
      </w:r>
      <w:r>
        <w:rPr>
          <w:lang w:val="uk-UA"/>
        </w:rPr>
        <w:t>- формування відповідного звукового сигналу;</w:t>
      </w:r>
    </w:p>
    <w:p>
      <w:pPr>
        <w:pStyle w:val="17"/>
        <w:spacing w:before="0" w:beforeAutospacing="0" w:after="0" w:afterAutospacing="0"/>
        <w:jc w:val="both"/>
        <w:rPr>
          <w:lang w:val="uk-UA"/>
        </w:rPr>
      </w:pPr>
      <w:r>
        <w:rPr>
          <w:lang w:val="uk-UA"/>
        </w:rPr>
        <w:t>Обладнання диспетчерського    центру    при  ручному управлінні виконавчими  пунктами  з боку   диспетчера повинно забезпечувати:</w:t>
      </w:r>
    </w:p>
    <w:p>
      <w:pPr>
        <w:pStyle w:val="17"/>
        <w:spacing w:before="0" w:beforeAutospacing="0" w:after="0" w:afterAutospacing="0"/>
        <w:jc w:val="both"/>
        <w:rPr>
          <w:lang w:val="uk-UA"/>
        </w:rPr>
      </w:pPr>
      <w:r>
        <w:rPr>
          <w:lang w:val="uk-UA"/>
        </w:rPr>
        <w:tab/>
      </w:r>
      <w:r>
        <w:rPr>
          <w:lang w:val="uk-UA"/>
        </w:rPr>
        <w:t>- передачу  пакету  даних  ручної команди диспетчера на виконавчий(-і) пункт(-и);</w:t>
      </w:r>
    </w:p>
    <w:p>
      <w:pPr>
        <w:pStyle w:val="17"/>
        <w:spacing w:before="0" w:beforeAutospacing="0" w:after="0" w:afterAutospacing="0"/>
        <w:jc w:val="both"/>
        <w:rPr>
          <w:lang w:val="uk-UA"/>
        </w:rPr>
      </w:pPr>
      <w:r>
        <w:rPr>
          <w:lang w:val="uk-UA"/>
        </w:rPr>
        <w:tab/>
      </w:r>
      <w:r>
        <w:rPr>
          <w:lang w:val="uk-UA"/>
        </w:rPr>
        <w:t>- передачу пакетів даних команди на повернення виконавчого(-их) пункту(-ів) в штатний режим;</w:t>
      </w:r>
    </w:p>
    <w:p>
      <w:pPr>
        <w:pStyle w:val="17"/>
        <w:spacing w:before="0" w:beforeAutospacing="0" w:after="0" w:afterAutospacing="0"/>
        <w:jc w:val="both"/>
        <w:rPr>
          <w:lang w:val="uk-UA"/>
        </w:rPr>
      </w:pPr>
      <w:r>
        <w:rPr>
          <w:lang w:val="uk-UA"/>
        </w:rPr>
        <w:t>- фіксацію передачі команд в базі даних;</w:t>
      </w:r>
    </w:p>
    <w:p>
      <w:pPr>
        <w:pStyle w:val="17"/>
        <w:spacing w:before="0" w:beforeAutospacing="0" w:after="0" w:afterAutospacing="0"/>
        <w:jc w:val="both"/>
        <w:rPr>
          <w:lang w:val="uk-UA"/>
        </w:rPr>
      </w:pPr>
      <w:r>
        <w:rPr>
          <w:lang w:val="uk-UA"/>
        </w:rPr>
        <w:t>- приймання   квитанцій  від  виконавчого  пункту про виконання команд.</w:t>
      </w:r>
    </w:p>
    <w:p>
      <w:pPr>
        <w:pStyle w:val="17"/>
        <w:spacing w:before="0" w:beforeAutospacing="0" w:after="0" w:afterAutospacing="0"/>
        <w:jc w:val="center"/>
        <w:rPr>
          <w:b/>
          <w:lang w:val="uk-UA"/>
        </w:rPr>
      </w:pPr>
      <w:r>
        <w:rPr>
          <w:b/>
          <w:lang w:val="uk-UA"/>
        </w:rPr>
        <w:t>5. Вимоги з діагностування системи</w:t>
      </w:r>
    </w:p>
    <w:p>
      <w:pPr>
        <w:pStyle w:val="17"/>
        <w:spacing w:before="0" w:beforeAutospacing="0" w:after="0" w:afterAutospacing="0"/>
        <w:jc w:val="both"/>
        <w:rPr>
          <w:lang w:val="uk-UA"/>
        </w:rPr>
      </w:pPr>
      <w:r>
        <w:rPr>
          <w:lang w:val="uk-UA"/>
        </w:rPr>
        <w:t xml:space="preserve">           Обладнання диспетчерського центру повинно надавати інструменти діагностування основних процесів системи, моніторинг процесу виконання команд, моніторинг аварійних ситуацій.</w:t>
      </w:r>
    </w:p>
    <w:p>
      <w:pPr>
        <w:pStyle w:val="17"/>
        <w:spacing w:before="0" w:beforeAutospacing="0" w:after="0" w:afterAutospacing="0"/>
        <w:jc w:val="both"/>
        <w:rPr>
          <w:lang w:val="uk-UA"/>
        </w:rPr>
      </w:pPr>
      <w:r>
        <w:rPr>
          <w:lang w:val="uk-UA"/>
        </w:rPr>
        <w:t xml:space="preserve">            Програмне забезпечення диспетчерського центру повинно надавати зручний інтерфейс для можливості перегляду діагностичних подій, аварійних ситуацій, моніторингу процесу виконання команд виконавчими пунктами.</w:t>
      </w:r>
    </w:p>
    <w:p>
      <w:pPr>
        <w:pStyle w:val="17"/>
        <w:spacing w:before="0" w:beforeAutospacing="0" w:after="0" w:afterAutospacing="0"/>
        <w:jc w:val="both"/>
        <w:rPr>
          <w:lang w:val="uk-UA"/>
        </w:rPr>
      </w:pPr>
      <w:r>
        <w:rPr>
          <w:lang w:val="uk-UA"/>
        </w:rPr>
        <w:t xml:space="preserve">           При виникненні аварійних ситуацій, діагностичні інструменти повинні зберігати повний набір інформації необхідної диспетчеру для ідентифікації проблеми (графічне та кольорове зображення стану технічного забезпечення шафи І-710, хронологія команд та звітів виконання команд).</w:t>
      </w:r>
    </w:p>
    <w:p>
      <w:pPr>
        <w:pStyle w:val="17"/>
        <w:spacing w:before="0" w:beforeAutospacing="0" w:after="0" w:afterAutospacing="0"/>
        <w:jc w:val="center"/>
        <w:rPr>
          <w:b/>
          <w:lang w:val="uk-UA"/>
        </w:rPr>
      </w:pPr>
      <w:r>
        <w:rPr>
          <w:b/>
          <w:lang w:val="uk-UA"/>
        </w:rPr>
        <w:t>6. Вимоги надійності</w:t>
      </w:r>
    </w:p>
    <w:p>
      <w:pPr>
        <w:pStyle w:val="17"/>
        <w:spacing w:before="0" w:beforeAutospacing="0" w:after="0" w:afterAutospacing="0"/>
        <w:jc w:val="both"/>
        <w:rPr>
          <w:lang w:val="uk-UA"/>
        </w:rPr>
      </w:pPr>
      <w:r>
        <w:rPr>
          <w:lang w:val="uk-UA"/>
        </w:rPr>
        <w:t>Система повинна зберігати працездатність і забезпечувати відновлення своїх функцій при виникненні наступних позаштатних ситуацій:</w:t>
      </w:r>
    </w:p>
    <w:p>
      <w:pPr>
        <w:pStyle w:val="17"/>
        <w:spacing w:before="0" w:beforeAutospacing="0" w:after="0" w:afterAutospacing="0"/>
        <w:jc w:val="both"/>
        <w:rPr>
          <w:lang w:val="uk-UA"/>
        </w:rPr>
      </w:pPr>
      <w:r>
        <w:rPr>
          <w:lang w:val="uk-UA"/>
        </w:rPr>
        <w:t xml:space="preserve">  – при збоях в системі електропостачання апаратної частини, ОС, що призводять до перезавантаження, відновлення програми повинне відбуватися після перезапуску ОС і запуску виконавчого файлу системи;</w:t>
      </w:r>
    </w:p>
    <w:p>
      <w:pPr>
        <w:pStyle w:val="17"/>
        <w:spacing w:before="0" w:beforeAutospacing="0" w:after="0" w:afterAutospacing="0"/>
        <w:jc w:val="both"/>
        <w:rPr>
          <w:lang w:val="uk-UA"/>
        </w:rPr>
      </w:pPr>
      <w:r>
        <w:rPr>
          <w:lang w:val="uk-UA"/>
        </w:rPr>
        <w:t xml:space="preserve">  – при помилках в роботі апаратних засобів (окрім носіїв даних і програм) відновлення функції системи покладається на ОС;</w:t>
      </w:r>
    </w:p>
    <w:p>
      <w:pPr>
        <w:pStyle w:val="17"/>
        <w:spacing w:before="0" w:beforeAutospacing="0" w:after="0" w:afterAutospacing="0"/>
        <w:jc w:val="both"/>
        <w:rPr>
          <w:lang w:val="uk-UA"/>
        </w:rPr>
      </w:pPr>
      <w:r>
        <w:rPr>
          <w:lang w:val="uk-UA"/>
        </w:rPr>
        <w:t xml:space="preserve">  – при помилках, пов'язаних з програмним забезпеченням (ОС і драйвери пристроїв), відновлення працездатності покладається на ОС.</w:t>
      </w:r>
    </w:p>
    <w:p>
      <w:pPr>
        <w:pStyle w:val="17"/>
        <w:spacing w:before="0" w:beforeAutospacing="0" w:after="0" w:afterAutospacing="0"/>
        <w:jc w:val="both"/>
        <w:rPr>
          <w:lang w:val="uk-UA"/>
        </w:rPr>
      </w:pPr>
      <w:r>
        <w:rPr>
          <w:lang w:val="uk-UA"/>
        </w:rPr>
        <w:t>Для захисту апаратури від «кидків» напруги і комутаційних перешкод повинні застосовуватися мережеві фільтри.</w:t>
      </w:r>
    </w:p>
    <w:p>
      <w:pPr>
        <w:pStyle w:val="17"/>
        <w:spacing w:before="0" w:beforeAutospacing="0" w:after="0" w:afterAutospacing="0"/>
        <w:jc w:val="center"/>
        <w:rPr>
          <w:b/>
          <w:lang w:val="uk-UA"/>
        </w:rPr>
      </w:pPr>
      <w:r>
        <w:rPr>
          <w:b/>
          <w:lang w:val="uk-UA"/>
        </w:rPr>
        <w:t>7. Вимоги безпеки</w:t>
      </w:r>
    </w:p>
    <w:p>
      <w:pPr>
        <w:pStyle w:val="17"/>
        <w:spacing w:before="0" w:beforeAutospacing="0" w:after="0" w:afterAutospacing="0"/>
        <w:jc w:val="both"/>
        <w:rPr>
          <w:lang w:val="uk-UA"/>
        </w:rPr>
      </w:pPr>
      <w:r>
        <w:rPr>
          <w:lang w:val="uk-UA"/>
        </w:rPr>
        <w:t>Всі зовнішні елементи технічних засобів системи, що знаходяться під напругою, повинні мати захист від випадкового дотику, а самі технічні засоби мати занулення або захисне заземлення ГОСТ 12.1.030-81 і ПУЕ.</w:t>
      </w:r>
    </w:p>
    <w:p>
      <w:pPr>
        <w:pStyle w:val="17"/>
        <w:spacing w:before="0" w:beforeAutospacing="0" w:after="0" w:afterAutospacing="0"/>
        <w:jc w:val="both"/>
        <w:rPr>
          <w:lang w:val="uk-UA"/>
        </w:rPr>
      </w:pPr>
      <w:r>
        <w:rPr>
          <w:lang w:val="uk-UA"/>
        </w:rPr>
        <w:t xml:space="preserve">Система електроживлення повинна забезпечувати захисне відключення при перевантаженнях і коротких замиканнях в ланцюгах навантаження, а також аварійне ручне відключення. Загальні вимоги пожежної безпеки повинні відповідати нормам на побутове електроустаткування. В разі спалаху не повинно виділятися отруйних газів і диму. Після зняття електроживлення має бути допустиме вживання будь-яких засобів пожежогасінні. </w:t>
      </w:r>
    </w:p>
    <w:p>
      <w:pPr>
        <w:pStyle w:val="17"/>
        <w:spacing w:before="0" w:beforeAutospacing="0" w:after="0" w:afterAutospacing="0"/>
        <w:jc w:val="both"/>
        <w:rPr>
          <w:lang w:val="uk-UA"/>
        </w:rPr>
      </w:pPr>
      <w:r>
        <w:rPr>
          <w:lang w:val="uk-UA"/>
        </w:rPr>
        <w:t>Фактори, які завдають шкоду здоров'ю з боку всіх елементів системи (у тому числі інфрачервоне, ультрафіолетове, рентгенівське і електромагнітне випромінювання, вібрація, шум, електростатичні поля, ультразвук рядкової частоти і так далі), не повинні перевищувати норм, що діють (СанПіН 2.2.2./2.4.1340-03 від 03.06.2003 р.).</w:t>
      </w:r>
    </w:p>
    <w:p>
      <w:pPr>
        <w:pStyle w:val="17"/>
        <w:spacing w:before="0" w:beforeAutospacing="0" w:after="0" w:afterAutospacing="0"/>
        <w:jc w:val="center"/>
        <w:rPr>
          <w:b/>
          <w:lang w:val="uk-UA"/>
        </w:rPr>
      </w:pPr>
      <w:r>
        <w:rPr>
          <w:b/>
          <w:lang w:val="uk-UA"/>
        </w:rPr>
        <w:t>8. Вимоги до захисту інформації від несанкціонованого доступу</w:t>
      </w:r>
    </w:p>
    <w:p>
      <w:pPr>
        <w:pStyle w:val="17"/>
        <w:spacing w:before="0" w:beforeAutospacing="0" w:after="0" w:afterAutospacing="0"/>
        <w:jc w:val="both"/>
        <w:rPr>
          <w:lang w:val="uk-UA"/>
        </w:rPr>
      </w:pPr>
      <w:r>
        <w:rPr>
          <w:lang w:val="uk-UA"/>
        </w:rPr>
        <w:t>Компоненти підсистеми захисту від несанкціонованого доступу повинні забезпечувати:</w:t>
      </w:r>
    </w:p>
    <w:p>
      <w:pPr>
        <w:pStyle w:val="17"/>
        <w:spacing w:before="0" w:beforeAutospacing="0" w:after="0" w:afterAutospacing="0"/>
        <w:jc w:val="both"/>
        <w:rPr>
          <w:lang w:val="uk-UA"/>
        </w:rPr>
      </w:pPr>
      <w:r>
        <w:rPr>
          <w:lang w:val="uk-UA"/>
        </w:rPr>
        <w:t>-</w:t>
      </w:r>
      <w:r>
        <w:rPr>
          <w:lang w:val="uk-UA"/>
        </w:rPr>
        <w:tab/>
      </w:r>
      <w:r>
        <w:rPr>
          <w:lang w:val="uk-UA"/>
        </w:rPr>
        <w:t>ідентифікацію користувача;</w:t>
      </w:r>
    </w:p>
    <w:p>
      <w:pPr>
        <w:pStyle w:val="17"/>
        <w:spacing w:before="0" w:beforeAutospacing="0" w:after="0" w:afterAutospacing="0"/>
        <w:jc w:val="both"/>
        <w:rPr>
          <w:lang w:val="uk-UA"/>
        </w:rPr>
      </w:pPr>
      <w:r>
        <w:rPr>
          <w:lang w:val="uk-UA"/>
        </w:rPr>
        <w:t>-</w:t>
      </w:r>
      <w:r>
        <w:rPr>
          <w:lang w:val="uk-UA"/>
        </w:rPr>
        <w:tab/>
      </w:r>
      <w:r>
        <w:rPr>
          <w:lang w:val="uk-UA"/>
        </w:rPr>
        <w:t>перевірку повноважень користувача при роботі з системою;</w:t>
      </w:r>
    </w:p>
    <w:p>
      <w:pPr>
        <w:pStyle w:val="17"/>
        <w:spacing w:before="0" w:beforeAutospacing="0" w:after="0" w:afterAutospacing="0"/>
        <w:jc w:val="both"/>
        <w:rPr>
          <w:lang w:val="uk-UA"/>
        </w:rPr>
      </w:pPr>
      <w:r>
        <w:rPr>
          <w:lang w:val="uk-UA"/>
        </w:rPr>
        <w:t>-</w:t>
      </w:r>
      <w:r>
        <w:rPr>
          <w:lang w:val="uk-UA"/>
        </w:rPr>
        <w:tab/>
      </w:r>
      <w:r>
        <w:rPr>
          <w:lang w:val="uk-UA"/>
        </w:rPr>
        <w:t>розмежування доступу користувачів.</w:t>
      </w:r>
    </w:p>
    <w:p>
      <w:pPr>
        <w:pStyle w:val="17"/>
        <w:spacing w:before="0" w:beforeAutospacing="0" w:after="0" w:afterAutospacing="0"/>
        <w:jc w:val="both"/>
        <w:rPr>
          <w:lang w:val="uk-UA"/>
        </w:rPr>
      </w:pPr>
      <w:r>
        <w:rPr>
          <w:lang w:val="uk-UA"/>
        </w:rPr>
        <w:t>Захищена частина системи повинна використовувати "сліпі" паролі (при наборі пароля його символи не показуються на екрані або замінюються одним типом символів; кількість символів не відповідає довжині пароля).</w:t>
      </w:r>
    </w:p>
    <w:p>
      <w:pPr>
        <w:pStyle w:val="17"/>
        <w:spacing w:before="0" w:beforeAutospacing="0" w:after="0" w:afterAutospacing="0"/>
        <w:jc w:val="both"/>
        <w:rPr>
          <w:lang w:val="uk-UA"/>
        </w:rPr>
      </w:pPr>
      <w:r>
        <w:rPr>
          <w:lang w:val="uk-UA"/>
        </w:rPr>
        <w:t>Захищена частина системи повинна автоматично блокувати сесії користувачів і додатків по заздалегідь заданих часах відсутності активності з боку користувачів і додатків.</w:t>
      </w:r>
    </w:p>
    <w:p>
      <w:pPr>
        <w:pStyle w:val="17"/>
        <w:spacing w:before="0" w:beforeAutospacing="0" w:after="0" w:afterAutospacing="0"/>
        <w:jc w:val="center"/>
        <w:rPr>
          <w:b/>
          <w:lang w:val="uk-UA"/>
        </w:rPr>
      </w:pPr>
      <w:r>
        <w:rPr>
          <w:b/>
          <w:lang w:val="uk-UA"/>
        </w:rPr>
        <w:t>9. Вимоги до зберігання інформації при аваріях</w:t>
      </w:r>
    </w:p>
    <w:p>
      <w:pPr>
        <w:pStyle w:val="17"/>
        <w:spacing w:before="0" w:beforeAutospacing="0" w:after="0" w:afterAutospacing="0"/>
        <w:jc w:val="both"/>
        <w:rPr>
          <w:lang w:val="uk-UA"/>
        </w:rPr>
      </w:pPr>
      <w:r>
        <w:rPr>
          <w:lang w:val="uk-UA"/>
        </w:rPr>
        <w:t>Програмне забезпечення обладнання диспетчерського центру  повинне відновлювати своє функціонування при коректному перезапуску апаратних засобів. Має бути передбачена можливість організації автоматичного і (або) ручного резервного копіювання даних системи засобами системного і базового програмного забезпечення (ОС), що входить до складу програмно-технічного комплексу Замовника.</w:t>
      </w:r>
    </w:p>
    <w:p>
      <w:pPr>
        <w:pStyle w:val="17"/>
        <w:spacing w:before="0" w:beforeAutospacing="0" w:after="0" w:afterAutospacing="0"/>
        <w:jc w:val="center"/>
        <w:rPr>
          <w:b/>
          <w:lang w:val="uk-UA"/>
        </w:rPr>
      </w:pPr>
      <w:r>
        <w:rPr>
          <w:b/>
          <w:lang w:val="uk-UA"/>
        </w:rPr>
        <w:t>10. Вимоги по стандартизації та уніфікації</w:t>
      </w:r>
    </w:p>
    <w:p>
      <w:pPr>
        <w:pStyle w:val="17"/>
        <w:spacing w:before="0" w:beforeAutospacing="0" w:after="0" w:afterAutospacing="0"/>
        <w:ind w:firstLine="708"/>
        <w:jc w:val="both"/>
        <w:rPr>
          <w:lang w:val="uk-UA"/>
        </w:rPr>
      </w:pPr>
      <w:r>
        <w:rPr>
          <w:lang w:val="uk-UA"/>
        </w:rPr>
        <w:t>Взаємодія користувачів з прикладним програмним забезпеченням, що входить до складу системи повинно здійснюватися за допомогою візуального графічного інтерфейсу (GUI). Інтерфейс системи має бути зрозумілим і зручним, не має бути переобтяжений графічними елементами і повинен забезпечувати швидке відображення екранних форм. Навігаційні елементи мають бути виконані в зручній для користувача формі. Засоби редагування інформації повинні задовольняти прийнятим угодам в частині використання функціональних клавіш, режимів роботи, пошуку, використання віконної системи. Введення-виведення даних системи, прийом команд, що керують, і відображення результатів їх виконання повинні виконуватися в інтерактивному режимі. Інтерфейс повинен відповідати сучасним ергономічним вимогам і забезпечувати зручний доступ до основних функцій і операцій системи.</w:t>
      </w:r>
    </w:p>
    <w:p>
      <w:pPr>
        <w:pStyle w:val="17"/>
        <w:spacing w:before="0" w:beforeAutospacing="0" w:after="0" w:afterAutospacing="0"/>
        <w:jc w:val="both"/>
        <w:rPr>
          <w:lang w:val="uk-UA"/>
        </w:rPr>
      </w:pPr>
      <w:r>
        <w:rPr>
          <w:lang w:val="uk-UA"/>
        </w:rPr>
        <w:t>Інтерфейс має бути розрахований на переважне використання маніпулятора на подобі «миша», тобто управління системою повинне здійснюється за допомогою набору екранних меню, кнопок, значків і тому подібних елементів. Клавіатурний режим введення повинен використовуватися головним чином при заповненні і редагуванні текстових і числових полів екранних форм.</w:t>
      </w:r>
    </w:p>
    <w:p>
      <w:pPr>
        <w:pStyle w:val="17"/>
        <w:spacing w:before="0" w:beforeAutospacing="0" w:after="0" w:afterAutospacing="0"/>
        <w:jc w:val="both"/>
        <w:rPr>
          <w:lang w:val="uk-UA"/>
        </w:rPr>
      </w:pPr>
      <w:r>
        <w:rPr>
          <w:lang w:val="uk-UA"/>
        </w:rPr>
        <w:t xml:space="preserve">Всі написи екранних форм, а також повідомлення, що видаються користувачеві (окрім системних повідомлень) мають бути українською мовою. </w:t>
      </w:r>
    </w:p>
    <w:p>
      <w:pPr>
        <w:pStyle w:val="17"/>
        <w:spacing w:before="0" w:beforeAutospacing="0" w:after="0" w:afterAutospacing="0"/>
        <w:jc w:val="both"/>
        <w:rPr>
          <w:lang w:val="uk-UA"/>
        </w:rPr>
      </w:pPr>
      <w:r>
        <w:rPr>
          <w:lang w:val="uk-UA"/>
        </w:rPr>
        <w:t>Екранні форми повинні проектуватися з врахуванням вимог уніфікації:</w:t>
      </w:r>
    </w:p>
    <w:p>
      <w:pPr>
        <w:pStyle w:val="17"/>
        <w:spacing w:before="0" w:beforeAutospacing="0" w:after="0" w:afterAutospacing="0"/>
        <w:jc w:val="both"/>
        <w:rPr>
          <w:lang w:val="uk-UA"/>
        </w:rPr>
      </w:pPr>
      <w:r>
        <w:rPr>
          <w:lang w:val="uk-UA"/>
        </w:rPr>
        <w:t>– всі екранні форми призначеного для користувача інтерфейсу мають бути виконані в єдиному графічному дизайні, з однаковим розташуванням основних елементів управління і навігації;</w:t>
      </w:r>
    </w:p>
    <w:p>
      <w:pPr>
        <w:pStyle w:val="17"/>
        <w:spacing w:before="0" w:beforeAutospacing="0" w:after="0" w:afterAutospacing="0"/>
        <w:jc w:val="both"/>
        <w:rPr>
          <w:lang w:val="uk-UA"/>
        </w:rPr>
      </w:pPr>
      <w:r>
        <w:rPr>
          <w:lang w:val="uk-UA"/>
        </w:rPr>
        <w:t>– для позначення схожих операцій повинні використовуватися схожі графічні значки, кнопки та інші елементи, що управляють (навігаційні). Терміни, використовувані для позначення типових операцій, а також послідовності дій користувача при їх виконанні, мають бути уніфіковані;</w:t>
      </w:r>
    </w:p>
    <w:p>
      <w:pPr>
        <w:pStyle w:val="17"/>
        <w:spacing w:before="0" w:beforeAutospacing="0" w:after="0" w:afterAutospacing="0"/>
        <w:jc w:val="both"/>
        <w:rPr>
          <w:lang w:val="uk-UA"/>
        </w:rPr>
      </w:pPr>
      <w:r>
        <w:rPr>
          <w:lang w:val="uk-UA"/>
        </w:rPr>
        <w:t>– зовнішня поведінка схожих елементів інтерфейсу (реакція на наведення покажчика «миші», перемикання фокусу, натиснення кнопки) повинні реалізовуватися однаково для однотипних елементів.</w:t>
      </w:r>
    </w:p>
    <w:p>
      <w:pPr>
        <w:pStyle w:val="17"/>
        <w:spacing w:before="0" w:beforeAutospacing="0" w:after="0" w:afterAutospacing="0"/>
        <w:jc w:val="both"/>
        <w:rPr>
          <w:lang w:val="uk-UA"/>
        </w:rPr>
      </w:pPr>
      <w:r>
        <w:rPr>
          <w:lang w:val="uk-UA"/>
        </w:rPr>
        <w:t>Система повинна відповідати вимогам ергономіки і професійної медицини за умови комплектування високоякісним устаткуванням (ПЕВМ, монітор і інше устаткування), що має необхідні сертифікати відповідності і безпеки.</w:t>
      </w:r>
    </w:p>
    <w:p>
      <w:pPr>
        <w:pStyle w:val="17"/>
        <w:spacing w:before="0" w:beforeAutospacing="0" w:after="0" w:afterAutospacing="0"/>
        <w:jc w:val="center"/>
        <w:rPr>
          <w:b/>
          <w:lang w:val="uk-UA"/>
        </w:rPr>
      </w:pPr>
      <w:r>
        <w:rPr>
          <w:b/>
          <w:lang w:val="uk-UA"/>
        </w:rPr>
        <w:t>11. Вимоги до функцій (задач) виконання яких повинен забезпечити, апаратно-програмний комплекс диспетчера:</w:t>
      </w:r>
    </w:p>
    <w:p>
      <w:pPr>
        <w:pStyle w:val="17"/>
        <w:spacing w:before="0" w:beforeAutospacing="0" w:after="0" w:afterAutospacing="0"/>
        <w:jc w:val="both"/>
        <w:rPr>
          <w:lang w:val="uk-UA"/>
        </w:rPr>
      </w:pPr>
      <w:r>
        <w:rPr>
          <w:lang w:val="uk-UA"/>
        </w:rPr>
        <w:t>1. Програмне забезпечення на базі Windows. Наявність резервної копії програмного забезпечення та простота його інсталяції.</w:t>
      </w:r>
    </w:p>
    <w:p>
      <w:pPr>
        <w:pStyle w:val="17"/>
        <w:spacing w:before="0" w:beforeAutospacing="0" w:after="0" w:afterAutospacing="0"/>
        <w:jc w:val="both"/>
        <w:rPr>
          <w:lang w:val="uk-UA"/>
        </w:rPr>
      </w:pPr>
      <w:r>
        <w:rPr>
          <w:lang w:val="uk-UA"/>
        </w:rPr>
        <w:t>2.  Можливість дистанційного оновлення програмного забезпечення  на терміналах виконавчих пунктів безпосередньо з диспетчерського пункту без виїзду на об'єкт.</w:t>
      </w:r>
    </w:p>
    <w:p>
      <w:pPr>
        <w:pStyle w:val="17"/>
        <w:spacing w:before="0" w:beforeAutospacing="0" w:after="0" w:afterAutospacing="0"/>
        <w:jc w:val="both"/>
        <w:rPr>
          <w:lang w:val="uk-UA"/>
        </w:rPr>
      </w:pPr>
      <w:r>
        <w:rPr>
          <w:lang w:val="uk-UA"/>
        </w:rPr>
        <w:t>3. Можливість здійснювати індивідуальне налаштування відображення конфігурації кожної шафи управління зовнішнім освітленням на робочому місці диспетчера (кількість контакторів, запобіжників).</w:t>
      </w:r>
    </w:p>
    <w:p>
      <w:pPr>
        <w:pStyle w:val="17"/>
        <w:spacing w:before="0" w:beforeAutospacing="0" w:after="0" w:afterAutospacing="0"/>
        <w:jc w:val="both"/>
        <w:rPr>
          <w:lang w:val="uk-UA"/>
        </w:rPr>
      </w:pPr>
      <w:r>
        <w:rPr>
          <w:lang w:val="uk-UA"/>
        </w:rPr>
        <w:t>4. Можливість здійснювати з робочого місця диспетчера сортування виконавчих пунктів.</w:t>
      </w:r>
    </w:p>
    <w:p>
      <w:pPr>
        <w:pStyle w:val="17"/>
        <w:spacing w:before="0" w:beforeAutospacing="0" w:after="0" w:afterAutospacing="0"/>
        <w:jc w:val="both"/>
        <w:rPr>
          <w:lang w:val="uk-UA"/>
        </w:rPr>
      </w:pPr>
      <w:r>
        <w:rPr>
          <w:lang w:val="uk-UA"/>
        </w:rPr>
        <w:t>5. Надання диспетчерському персоналу інформації про окремий об’єкт управління вуличним освітленням в вигляді окремої мнемосхеми з поточним значенням електричних величин (мнемосхема окремої підстанції).</w:t>
      </w:r>
    </w:p>
    <w:p>
      <w:pPr>
        <w:pStyle w:val="17"/>
        <w:spacing w:before="0" w:beforeAutospacing="0" w:after="0" w:afterAutospacing="0"/>
        <w:jc w:val="both"/>
        <w:rPr>
          <w:lang w:val="uk-UA"/>
        </w:rPr>
      </w:pPr>
      <w:r>
        <w:rPr>
          <w:lang w:val="uk-UA"/>
        </w:rPr>
        <w:t>6. Захищений паролем доступ до системи згідно з відданими повноваженнями (з можливістю захисту телеуправління, зміни розкладу, конфігурування системи та інше, несанкціонований доступ).</w:t>
      </w:r>
    </w:p>
    <w:p>
      <w:pPr>
        <w:pStyle w:val="17"/>
        <w:spacing w:before="0" w:beforeAutospacing="0" w:after="0" w:afterAutospacing="0"/>
        <w:jc w:val="both"/>
        <w:rPr>
          <w:lang w:val="uk-UA"/>
        </w:rPr>
      </w:pPr>
      <w:r>
        <w:rPr>
          <w:lang w:val="uk-UA"/>
        </w:rPr>
        <w:t>7. Інформування диспетчерського персоналу про аварійні та інші важливі події, звукова сигналізація з певного рівня важливості, фіксування аварійних випадків.</w:t>
      </w:r>
    </w:p>
    <w:p>
      <w:pPr>
        <w:pStyle w:val="17"/>
        <w:spacing w:before="0" w:beforeAutospacing="0" w:after="0" w:afterAutospacing="0"/>
        <w:jc w:val="both"/>
        <w:rPr>
          <w:lang w:val="uk-UA"/>
        </w:rPr>
      </w:pPr>
      <w:r>
        <w:rPr>
          <w:lang w:val="uk-UA"/>
        </w:rPr>
        <w:t>8.Автоматичне протоколювання всіх контролюючих комплексом подій, у т.ч. аварійних, системних переключень, звітів про потужність та спожиту енергію (передача інформації з лічильника), можливість створювати інші звіти відповідно з потребами оператора диспетчерського пункту.</w:t>
      </w:r>
    </w:p>
    <w:p>
      <w:pPr>
        <w:pStyle w:val="17"/>
        <w:spacing w:before="0" w:beforeAutospacing="0" w:after="0" w:afterAutospacing="0"/>
        <w:jc w:val="both"/>
        <w:rPr>
          <w:lang w:val="uk-UA"/>
        </w:rPr>
      </w:pPr>
      <w:r>
        <w:rPr>
          <w:lang w:val="uk-UA"/>
        </w:rPr>
        <w:t>9. Отримання звітів в електронному вигляді, можливість передачі їх на друк в Excel та Word (глибина  архівації не менше двох років).</w:t>
      </w:r>
    </w:p>
    <w:p>
      <w:pPr>
        <w:pStyle w:val="17"/>
        <w:spacing w:before="0" w:beforeAutospacing="0" w:after="0" w:afterAutospacing="0"/>
        <w:jc w:val="both"/>
        <w:rPr>
          <w:lang w:val="uk-UA"/>
        </w:rPr>
      </w:pPr>
      <w:r>
        <w:rPr>
          <w:lang w:val="uk-UA"/>
        </w:rPr>
        <w:t>10. Централізоване телеуправління включення та відключення освітлення трьома рівнями освітлення (День, Вечір, Ніч) в автоматичному режимі по затвердженому графіку.</w:t>
      </w:r>
    </w:p>
    <w:p>
      <w:pPr>
        <w:pStyle w:val="17"/>
        <w:spacing w:before="0" w:beforeAutospacing="0" w:after="0" w:afterAutospacing="0"/>
        <w:jc w:val="both"/>
        <w:rPr>
          <w:lang w:val="uk-UA"/>
        </w:rPr>
      </w:pPr>
      <w:r>
        <w:rPr>
          <w:lang w:val="uk-UA"/>
        </w:rPr>
        <w:t>11. Централізоване оперативне (індивідуальне та групове) телеуправління включенням та відключенням освітлення у ручному режимі.</w:t>
      </w:r>
    </w:p>
    <w:p>
      <w:pPr>
        <w:pStyle w:val="17"/>
        <w:spacing w:before="0" w:beforeAutospacing="0" w:after="0" w:afterAutospacing="0"/>
        <w:jc w:val="both"/>
        <w:rPr>
          <w:lang w:val="uk-UA"/>
        </w:rPr>
      </w:pPr>
      <w:r>
        <w:rPr>
          <w:lang w:val="uk-UA"/>
        </w:rPr>
        <w:t>12. Ручне місцеве управління режимами освітлення обслуговуючим персоналом (кнопки).</w:t>
      </w:r>
    </w:p>
    <w:p>
      <w:pPr>
        <w:pStyle w:val="17"/>
        <w:spacing w:before="0" w:beforeAutospacing="0" w:after="0" w:afterAutospacing="0"/>
        <w:jc w:val="both"/>
        <w:rPr>
          <w:lang w:val="uk-UA"/>
        </w:rPr>
      </w:pPr>
      <w:r>
        <w:rPr>
          <w:lang w:val="uk-UA"/>
        </w:rPr>
        <w:t>13. Технічний облік спожитої електроенергії - передача з лічильника "НІК", "Меркурій", "ЕЛГАМА", "Енергія-9". Термінал повинен зчитувати з лічильника спожиту електроенергію;</w:t>
      </w:r>
    </w:p>
    <w:p>
      <w:pPr>
        <w:pStyle w:val="17"/>
        <w:spacing w:before="0" w:beforeAutospacing="0" w:after="0" w:afterAutospacing="0"/>
        <w:jc w:val="both"/>
        <w:rPr>
          <w:lang w:val="uk-UA"/>
        </w:rPr>
      </w:pPr>
      <w:r>
        <w:rPr>
          <w:lang w:val="uk-UA"/>
        </w:rPr>
        <w:t>14. Можливість застосування інших лічильників (при наявності протоколу передачі даних).</w:t>
      </w:r>
    </w:p>
    <w:p>
      <w:pPr>
        <w:pStyle w:val="17"/>
        <w:spacing w:before="0" w:beforeAutospacing="0" w:after="0" w:afterAutospacing="0"/>
        <w:jc w:val="both"/>
        <w:rPr>
          <w:lang w:val="uk-UA"/>
        </w:rPr>
      </w:pPr>
      <w:r>
        <w:rPr>
          <w:lang w:val="uk-UA"/>
        </w:rPr>
        <w:t>15. Контроль за станом комутаторів вуличного освітлення (приклад, відключення при спрацюванні захисту).</w:t>
      </w:r>
    </w:p>
    <w:p>
      <w:pPr>
        <w:pStyle w:val="17"/>
        <w:spacing w:before="0" w:beforeAutospacing="0" w:after="0" w:afterAutospacing="0"/>
        <w:jc w:val="both"/>
        <w:rPr>
          <w:lang w:val="uk-UA"/>
        </w:rPr>
      </w:pPr>
      <w:r>
        <w:rPr>
          <w:lang w:val="uk-UA"/>
        </w:rPr>
        <w:t>16. Контроль за станом охоронної сигналізації шафи на підстанції з реєстрацією часу її спрацювання та звуковою сигналізацією диспетчерському персоналу.</w:t>
      </w:r>
    </w:p>
    <w:p>
      <w:pPr>
        <w:pStyle w:val="17"/>
        <w:spacing w:before="0" w:beforeAutospacing="0" w:after="0" w:afterAutospacing="0"/>
        <w:jc w:val="both"/>
        <w:rPr>
          <w:lang w:val="uk-UA"/>
        </w:rPr>
      </w:pPr>
      <w:r>
        <w:rPr>
          <w:lang w:val="uk-UA"/>
        </w:rPr>
        <w:t>17.  Контроль рахунку на SIM-картах операторів зв’язку.</w:t>
      </w:r>
    </w:p>
    <w:p>
      <w:pPr>
        <w:pStyle w:val="17"/>
        <w:spacing w:before="0" w:beforeAutospacing="0" w:after="0" w:afterAutospacing="0"/>
        <w:jc w:val="both"/>
        <w:rPr>
          <w:lang w:val="uk-UA"/>
        </w:rPr>
      </w:pPr>
      <w:r>
        <w:rPr>
          <w:lang w:val="uk-UA"/>
        </w:rPr>
        <w:t>18. База даних повинна мати резервне копіювання  на "дзеркальний" HDD та на CD або DVD за вимогою користувача.</w:t>
      </w:r>
    </w:p>
    <w:p>
      <w:pPr>
        <w:pStyle w:val="17"/>
        <w:spacing w:before="0" w:beforeAutospacing="0" w:after="0" w:afterAutospacing="0"/>
        <w:jc w:val="both"/>
        <w:rPr>
          <w:lang w:val="uk-UA"/>
        </w:rPr>
      </w:pPr>
      <w:r>
        <w:rPr>
          <w:lang w:val="uk-UA"/>
        </w:rPr>
        <w:t>19. Здійснення синхронізації часу терміналів виконавчих пунктів за допомогою мережі.</w:t>
      </w:r>
    </w:p>
    <w:p>
      <w:pPr>
        <w:pStyle w:val="17"/>
        <w:spacing w:before="0" w:beforeAutospacing="0" w:after="0" w:afterAutospacing="0"/>
        <w:jc w:val="both"/>
        <w:rPr>
          <w:lang w:val="uk-UA"/>
        </w:rPr>
      </w:pPr>
      <w:r>
        <w:rPr>
          <w:lang w:val="uk-UA"/>
        </w:rPr>
        <w:t>20.Технічна та програмна можливість управління по протоколу PLC.</w:t>
      </w:r>
    </w:p>
    <w:p>
      <w:pPr>
        <w:pStyle w:val="17"/>
        <w:spacing w:before="0" w:beforeAutospacing="0" w:after="0" w:afterAutospacing="0"/>
        <w:jc w:val="center"/>
        <w:rPr>
          <w:b/>
          <w:lang w:val="uk-UA"/>
        </w:rPr>
      </w:pPr>
      <w:r>
        <w:rPr>
          <w:b/>
          <w:lang w:val="uk-UA"/>
        </w:rPr>
        <w:t>12. Вимоги до терміналів виконавчого пункту</w:t>
      </w:r>
    </w:p>
    <w:p>
      <w:pPr>
        <w:pStyle w:val="17"/>
        <w:spacing w:before="0" w:beforeAutospacing="0" w:after="0" w:afterAutospacing="0"/>
        <w:jc w:val="both"/>
        <w:rPr>
          <w:lang w:val="uk-UA"/>
        </w:rPr>
      </w:pPr>
      <w:r>
        <w:rPr>
          <w:lang w:val="uk-UA"/>
        </w:rPr>
        <w:t>Наявність зареєстрованих в Держстандарті технічних вимог на виробництво терміналів виконавчих пунктів, які погоджені:</w:t>
      </w:r>
    </w:p>
    <w:p>
      <w:pPr>
        <w:pStyle w:val="17"/>
        <w:spacing w:before="0" w:beforeAutospacing="0" w:after="0" w:afterAutospacing="0"/>
        <w:jc w:val="both"/>
        <w:rPr>
          <w:lang w:val="uk-UA"/>
        </w:rPr>
      </w:pPr>
      <w:r>
        <w:rPr>
          <w:lang w:val="uk-UA"/>
        </w:rPr>
        <w:t>ДП «Український центр радіочастот»</w:t>
      </w:r>
      <w:r>
        <w:rPr>
          <w:lang w:val="uk-UA"/>
        </w:rPr>
        <w:tab/>
      </w:r>
    </w:p>
    <w:p>
      <w:pPr>
        <w:pStyle w:val="17"/>
        <w:spacing w:before="0" w:beforeAutospacing="0" w:after="0" w:afterAutospacing="0"/>
        <w:jc w:val="both"/>
        <w:rPr>
          <w:lang w:val="uk-UA"/>
        </w:rPr>
      </w:pPr>
      <w:r>
        <w:rPr>
          <w:lang w:val="uk-UA"/>
        </w:rPr>
        <w:t>Державній санітарно-епідеміологічній службі</w:t>
      </w:r>
      <w:r>
        <w:rPr>
          <w:lang w:val="uk-UA"/>
        </w:rPr>
        <w:tab/>
      </w:r>
    </w:p>
    <w:p>
      <w:pPr>
        <w:pStyle w:val="17"/>
        <w:spacing w:before="0" w:beforeAutospacing="0" w:after="0" w:afterAutospacing="0"/>
        <w:jc w:val="both"/>
        <w:rPr>
          <w:lang w:val="uk-UA"/>
        </w:rPr>
      </w:pPr>
      <w:r>
        <w:rPr>
          <w:lang w:val="uk-UA"/>
        </w:rPr>
        <w:t>Державній службі України з питань праці (або Державному комітеті з промислової безпеки, охорони праці та гірничого нагляду)</w:t>
      </w:r>
      <w:r>
        <w:rPr>
          <w:lang w:val="uk-UA"/>
        </w:rPr>
        <w:tab/>
      </w:r>
    </w:p>
    <w:p>
      <w:pPr>
        <w:pStyle w:val="17"/>
        <w:spacing w:before="0" w:beforeAutospacing="0" w:after="0" w:afterAutospacing="0"/>
        <w:jc w:val="both"/>
        <w:rPr>
          <w:lang w:val="uk-UA"/>
        </w:rPr>
      </w:pPr>
      <w:r>
        <w:rPr>
          <w:lang w:val="uk-UA"/>
        </w:rPr>
        <w:t>Державному департаменті пожежної безпеки МНС України</w:t>
      </w:r>
      <w:r>
        <w:rPr>
          <w:lang w:val="uk-UA"/>
        </w:rPr>
        <w:tab/>
      </w:r>
    </w:p>
    <w:p>
      <w:pPr>
        <w:pStyle w:val="17"/>
        <w:spacing w:before="0" w:beforeAutospacing="0" w:after="0" w:afterAutospacing="0"/>
        <w:jc w:val="both"/>
        <w:rPr>
          <w:lang w:val="uk-UA"/>
        </w:rPr>
      </w:pPr>
      <w:r>
        <w:rPr>
          <w:lang w:val="uk-UA"/>
        </w:rPr>
        <w:t xml:space="preserve">У складі пропозиції Учасник подає копію першої сторінки технічних умов на виробництво терміналів виконавчого пункту з відмітками по вищезазначені погодження. </w:t>
      </w:r>
    </w:p>
    <w:p>
      <w:pPr>
        <w:pStyle w:val="17"/>
        <w:spacing w:before="0" w:beforeAutospacing="0" w:after="0" w:afterAutospacing="0"/>
        <w:jc w:val="center"/>
        <w:rPr>
          <w:b/>
          <w:lang w:val="uk-UA"/>
        </w:rPr>
      </w:pPr>
      <w:r>
        <w:rPr>
          <w:b/>
          <w:lang w:val="uk-UA"/>
        </w:rPr>
        <w:t>13. Загальні вимоги до  терміналу виконавчого пункту</w:t>
      </w:r>
    </w:p>
    <w:p>
      <w:pPr>
        <w:pStyle w:val="17"/>
        <w:spacing w:before="0" w:beforeAutospacing="0" w:after="0" w:afterAutospacing="0"/>
        <w:ind w:firstLine="708"/>
        <w:jc w:val="both"/>
        <w:rPr>
          <w:lang w:val="uk-UA"/>
        </w:rPr>
      </w:pPr>
      <w:r>
        <w:rPr>
          <w:lang w:val="uk-UA"/>
        </w:rPr>
        <w:t>Корпус   терміналу  повинен бути   виконаний у вигляді металевого  ящику  з  елементами  кріплення.</w:t>
      </w:r>
    </w:p>
    <w:p>
      <w:pPr>
        <w:pStyle w:val="17"/>
        <w:spacing w:before="0" w:beforeAutospacing="0" w:after="0" w:afterAutospacing="0"/>
        <w:jc w:val="both"/>
        <w:rPr>
          <w:lang w:val="uk-UA"/>
        </w:rPr>
      </w:pPr>
      <w:r>
        <w:rPr>
          <w:lang w:val="uk-UA"/>
        </w:rPr>
        <w:t>-</w:t>
      </w:r>
      <w:r>
        <w:rPr>
          <w:lang w:val="uk-UA"/>
        </w:rPr>
        <w:tab/>
      </w:r>
      <w:r>
        <w:rPr>
          <w:lang w:val="uk-UA"/>
        </w:rPr>
        <w:t>З'єднання   електричної   схеми    терміналу    з електричними  частинами  ШУЗО   виконані  гнучким  дротом  з   мідними   жилами,   з   ізоляцією  розрахованою на  напругу  0,4 кВ.</w:t>
      </w:r>
    </w:p>
    <w:p>
      <w:pPr>
        <w:pStyle w:val="17"/>
        <w:spacing w:before="0" w:beforeAutospacing="0" w:after="0" w:afterAutospacing="0"/>
        <w:jc w:val="both"/>
        <w:rPr>
          <w:lang w:val="uk-UA"/>
        </w:rPr>
      </w:pPr>
      <w:r>
        <w:rPr>
          <w:lang w:val="uk-UA"/>
        </w:rPr>
        <w:t>-</w:t>
      </w:r>
      <w:r>
        <w:rPr>
          <w:lang w:val="uk-UA"/>
        </w:rPr>
        <w:tab/>
      </w:r>
      <w:r>
        <w:rPr>
          <w:lang w:val="uk-UA"/>
        </w:rPr>
        <w:t>Під'єднування    кінців    провідників,   контролюючих справність  запобіжників  виконуються  болтовим з'єднанням  на  нижніх  губках  опорних ізоляторів.</w:t>
      </w:r>
    </w:p>
    <w:p>
      <w:pPr>
        <w:pStyle w:val="17"/>
        <w:spacing w:before="0" w:beforeAutospacing="0" w:after="0" w:afterAutospacing="0"/>
        <w:jc w:val="both"/>
        <w:rPr>
          <w:lang w:val="uk-UA"/>
        </w:rPr>
      </w:pPr>
      <w:r>
        <w:rPr>
          <w:lang w:val="uk-UA"/>
        </w:rPr>
        <w:t>-</w:t>
      </w:r>
      <w:r>
        <w:rPr>
          <w:lang w:val="uk-UA"/>
        </w:rPr>
        <w:tab/>
      </w:r>
      <w:r>
        <w:rPr>
          <w:lang w:val="uk-UA"/>
        </w:rPr>
        <w:t>Кінці кожного провідника в джгуті мають чітко помітну не змивне   маркування.</w:t>
      </w:r>
    </w:p>
    <w:p>
      <w:pPr>
        <w:pStyle w:val="17"/>
        <w:spacing w:before="0" w:beforeAutospacing="0" w:after="0" w:afterAutospacing="0"/>
        <w:jc w:val="both"/>
        <w:rPr>
          <w:lang w:val="uk-UA"/>
        </w:rPr>
      </w:pPr>
      <w:r>
        <w:rPr>
          <w:lang w:val="uk-UA"/>
        </w:rPr>
        <w:t>- Термінал виконавчого пункт повинен мати можливість:</w:t>
      </w:r>
    </w:p>
    <w:p>
      <w:pPr>
        <w:pStyle w:val="17"/>
        <w:spacing w:before="0" w:beforeAutospacing="0" w:after="0" w:afterAutospacing="0"/>
        <w:jc w:val="both"/>
        <w:rPr>
          <w:lang w:val="uk-UA"/>
        </w:rPr>
      </w:pPr>
      <w:r>
        <w:rPr>
          <w:lang w:val="uk-UA"/>
        </w:rPr>
        <w:t>-  контролю наявності напруги в 15 - ти точках виконавчого пункту - ШУЗО ;</w:t>
      </w:r>
    </w:p>
    <w:p>
      <w:pPr>
        <w:pStyle w:val="17"/>
        <w:spacing w:before="0" w:beforeAutospacing="0" w:after="0" w:afterAutospacing="0"/>
        <w:jc w:val="both"/>
        <w:rPr>
          <w:lang w:val="uk-UA"/>
        </w:rPr>
      </w:pPr>
      <w:r>
        <w:rPr>
          <w:lang w:val="uk-UA"/>
        </w:rPr>
        <w:t>-  контролю відкриття вхідних дверей шафи  виконавчого  пункту - ШУЗО;</w:t>
      </w:r>
    </w:p>
    <w:p>
      <w:pPr>
        <w:pStyle w:val="17"/>
        <w:spacing w:before="0" w:beforeAutospacing="0" w:after="0" w:afterAutospacing="0"/>
        <w:jc w:val="both"/>
        <w:rPr>
          <w:lang w:val="uk-UA"/>
        </w:rPr>
      </w:pPr>
      <w:r>
        <w:rPr>
          <w:lang w:val="uk-UA"/>
        </w:rPr>
        <w:t>-  читання даних з порту RS-485;</w:t>
      </w:r>
    </w:p>
    <w:p>
      <w:pPr>
        <w:pStyle w:val="17"/>
        <w:spacing w:before="0" w:beforeAutospacing="0" w:after="0" w:afterAutospacing="0"/>
        <w:jc w:val="both"/>
        <w:rPr>
          <w:lang w:val="uk-UA"/>
        </w:rPr>
      </w:pPr>
      <w:r>
        <w:rPr>
          <w:lang w:val="uk-UA"/>
        </w:rPr>
        <w:t>-  управління  виконавчими  пристроями (контакторами) до 2 шт., згідно програми автономної  роботи  або  по  командах  диспетчерського центру;</w:t>
      </w:r>
    </w:p>
    <w:p>
      <w:pPr>
        <w:pStyle w:val="17"/>
        <w:spacing w:before="0" w:beforeAutospacing="0" w:after="0" w:afterAutospacing="0"/>
        <w:jc w:val="both"/>
        <w:rPr>
          <w:lang w:val="uk-UA"/>
        </w:rPr>
      </w:pPr>
      <w:r>
        <w:rPr>
          <w:lang w:val="uk-UA"/>
        </w:rPr>
        <w:t>-  двостороннього обміну пакетами даних з диспетчерським центром;</w:t>
      </w:r>
    </w:p>
    <w:p>
      <w:pPr>
        <w:pStyle w:val="17"/>
        <w:spacing w:before="0" w:beforeAutospacing="0" w:after="0" w:afterAutospacing="0"/>
        <w:jc w:val="both"/>
        <w:rPr>
          <w:lang w:val="uk-UA"/>
        </w:rPr>
      </w:pPr>
      <w:r>
        <w:rPr>
          <w:lang w:val="uk-UA"/>
        </w:rPr>
        <w:t>-  проведення внутрішнього самоконтролю основних вузлів терміналу</w:t>
      </w:r>
    </w:p>
    <w:p>
      <w:pPr>
        <w:pStyle w:val="17"/>
        <w:spacing w:before="0" w:beforeAutospacing="0" w:after="0" w:afterAutospacing="0"/>
        <w:jc w:val="both"/>
        <w:rPr>
          <w:lang w:val="uk-UA"/>
        </w:rPr>
      </w:pPr>
      <w:r>
        <w:rPr>
          <w:lang w:val="uk-UA"/>
        </w:rPr>
        <w:t>- обмін інформацією з диспетчерським пунктом за допомогою каналу інтернет.</w:t>
      </w:r>
    </w:p>
    <w:p>
      <w:pPr>
        <w:pStyle w:val="17"/>
        <w:spacing w:before="0" w:beforeAutospacing="0" w:after="0" w:afterAutospacing="0"/>
        <w:jc w:val="both"/>
        <w:rPr>
          <w:lang w:val="uk-UA"/>
        </w:rPr>
      </w:pPr>
      <w:r>
        <w:rPr>
          <w:lang w:val="uk-UA"/>
        </w:rPr>
        <w:t>- дистанційної зміни календарних графіків;</w:t>
      </w:r>
    </w:p>
    <w:p>
      <w:pPr>
        <w:pStyle w:val="17"/>
        <w:spacing w:before="0" w:beforeAutospacing="0" w:after="0" w:afterAutospacing="0"/>
        <w:jc w:val="both"/>
      </w:pPr>
      <w:r>
        <w:rPr>
          <w:lang w:val="uk-UA"/>
        </w:rPr>
        <w:t xml:space="preserve">- фізичний доступ до опитування та програмування терміналу на місці, за допомогою </w:t>
      </w:r>
      <w:r>
        <w:rPr>
          <w:lang w:val="en-US"/>
        </w:rPr>
        <w:t>USB</w:t>
      </w:r>
      <w:r>
        <w:rPr>
          <w:lang w:val="uk-UA"/>
        </w:rPr>
        <w:t xml:space="preserve"> підключення. </w:t>
      </w:r>
      <w:r>
        <w:rPr>
          <w:lang w:val="en-US"/>
        </w:rPr>
        <w:t>USB</w:t>
      </w:r>
      <w:r>
        <w:rPr>
          <w:lang w:val="uk-UA"/>
        </w:rPr>
        <w:t>-</w:t>
      </w:r>
      <w:r>
        <w:rPr>
          <w:lang w:val="en-US"/>
        </w:rPr>
        <w:t>UART</w:t>
      </w:r>
      <w:r>
        <w:rPr>
          <w:lang w:val="uk-UA"/>
        </w:rPr>
        <w:t xml:space="preserve"> / </w:t>
      </w:r>
      <w:r>
        <w:rPr>
          <w:lang w:val="en-US"/>
        </w:rPr>
        <w:t>USB</w:t>
      </w:r>
      <w:r>
        <w:rPr>
          <w:lang w:val="uk-UA"/>
        </w:rPr>
        <w:t>-</w:t>
      </w:r>
      <w:r>
        <w:rPr>
          <w:lang w:val="en-US"/>
        </w:rPr>
        <w:t>TTL</w:t>
      </w:r>
    </w:p>
    <w:p>
      <w:pPr>
        <w:pStyle w:val="17"/>
        <w:spacing w:before="0" w:beforeAutospacing="0" w:after="0" w:afterAutospacing="0"/>
        <w:jc w:val="both"/>
        <w:rPr>
          <w:lang w:val="uk-UA"/>
        </w:rPr>
      </w:pPr>
      <w:r>
        <w:t xml:space="preserve">- </w:t>
      </w:r>
      <w:r>
        <w:rPr>
          <w:lang w:val="uk-UA"/>
        </w:rPr>
        <w:t xml:space="preserve">бездротовий доступ до опитування та програмування терміналу на місці, за допомогою </w:t>
      </w:r>
      <w:r>
        <w:rPr>
          <w:lang w:val="en-US"/>
        </w:rPr>
        <w:t>Bluetooth</w:t>
      </w:r>
      <w:r>
        <w:rPr>
          <w:lang w:val="uk-UA"/>
        </w:rPr>
        <w:t xml:space="preserve"> підключення</w:t>
      </w:r>
    </w:p>
    <w:p>
      <w:pPr>
        <w:pStyle w:val="17"/>
        <w:spacing w:before="0" w:beforeAutospacing="0" w:after="0" w:afterAutospacing="0"/>
        <w:jc w:val="both"/>
        <w:rPr>
          <w:lang w:val="uk-UA"/>
        </w:rPr>
      </w:pPr>
      <w:r>
        <w:rPr>
          <w:lang w:val="uk-UA"/>
        </w:rPr>
        <w:t>Для    підвищення   надійності   термінал   повинен бути оснащений   апаратними  і програмними   сторожовими    таймерами,  що  контролюють   виконання основної  програми  терміналу.</w:t>
      </w:r>
    </w:p>
    <w:p>
      <w:pPr>
        <w:pStyle w:val="17"/>
        <w:spacing w:before="0" w:beforeAutospacing="0" w:after="0" w:afterAutospacing="0"/>
        <w:jc w:val="both"/>
        <w:rPr>
          <w:lang w:val="uk-UA"/>
        </w:rPr>
      </w:pPr>
      <w:r>
        <w:rPr>
          <w:lang w:val="uk-UA"/>
        </w:rPr>
        <w:t>- Термінал виконавчого пункту повинен забезпечувати наступні функції, контроль та відображення інформації:</w:t>
      </w:r>
    </w:p>
    <w:p>
      <w:pPr>
        <w:pStyle w:val="17"/>
        <w:spacing w:before="0" w:beforeAutospacing="0" w:after="0" w:afterAutospacing="0"/>
        <w:jc w:val="both"/>
        <w:rPr>
          <w:lang w:val="uk-UA"/>
        </w:rPr>
      </w:pPr>
      <w:r>
        <w:rPr>
          <w:lang w:val="uk-UA"/>
        </w:rPr>
        <w:t>- аварія КП (контролюючого пункту);</w:t>
      </w:r>
    </w:p>
    <w:p>
      <w:pPr>
        <w:pStyle w:val="17"/>
        <w:spacing w:before="0" w:beforeAutospacing="0" w:after="0" w:afterAutospacing="0"/>
        <w:jc w:val="both"/>
        <w:rPr>
          <w:lang w:val="uk-UA"/>
        </w:rPr>
      </w:pPr>
      <w:r>
        <w:rPr>
          <w:lang w:val="uk-UA"/>
        </w:rPr>
        <w:t>- аварія фаз;</w:t>
      </w:r>
    </w:p>
    <w:p>
      <w:pPr>
        <w:pStyle w:val="17"/>
        <w:spacing w:before="0" w:beforeAutospacing="0" w:after="0" w:afterAutospacing="0"/>
        <w:jc w:val="both"/>
        <w:rPr>
          <w:lang w:val="uk-UA"/>
        </w:rPr>
      </w:pPr>
      <w:r>
        <w:rPr>
          <w:lang w:val="uk-UA"/>
        </w:rPr>
        <w:t>- відкриття дверей;</w:t>
      </w:r>
    </w:p>
    <w:p>
      <w:pPr>
        <w:pStyle w:val="17"/>
        <w:spacing w:before="0" w:beforeAutospacing="0" w:after="0" w:afterAutospacing="0"/>
        <w:jc w:val="both"/>
        <w:rPr>
          <w:lang w:val="uk-UA"/>
        </w:rPr>
      </w:pPr>
      <w:r>
        <w:rPr>
          <w:lang w:val="uk-UA"/>
        </w:rPr>
        <w:t>- контроль живлення на відхідних лініях;</w:t>
      </w:r>
    </w:p>
    <w:p>
      <w:pPr>
        <w:pStyle w:val="17"/>
        <w:spacing w:before="0" w:beforeAutospacing="0" w:after="0" w:afterAutospacing="0"/>
        <w:jc w:val="both"/>
        <w:rPr>
          <w:lang w:val="uk-UA"/>
        </w:rPr>
      </w:pPr>
      <w:r>
        <w:rPr>
          <w:lang w:val="uk-UA"/>
        </w:rPr>
        <w:t>- для забезпечення роботи в широкому діапазоні температур зарядні ланцюги акумулятора повинні мати температурну корекцію, яка забезпечуватиме зміну кінцевої напруги буферного режиму в залежності від температури навколишнього середовища;</w:t>
      </w:r>
    </w:p>
    <w:p>
      <w:pPr>
        <w:pStyle w:val="17"/>
        <w:spacing w:before="0" w:beforeAutospacing="0" w:after="0" w:afterAutospacing="0"/>
        <w:jc w:val="both"/>
        <w:rPr>
          <w:lang w:val="uk-UA"/>
        </w:rPr>
      </w:pPr>
      <w:r>
        <w:rPr>
          <w:lang w:val="uk-UA"/>
        </w:rPr>
        <w:t>- обладнання  розраховане на управління всіх видів контакторів та пускачів з Іmax пусковий 10 А, Іmax робочий - 1,5 А;</w:t>
      </w:r>
    </w:p>
    <w:p>
      <w:pPr>
        <w:pStyle w:val="17"/>
        <w:spacing w:before="0" w:beforeAutospacing="0" w:after="0" w:afterAutospacing="0"/>
        <w:jc w:val="both"/>
        <w:rPr>
          <w:lang w:val="uk-UA"/>
        </w:rPr>
      </w:pPr>
      <w:r>
        <w:rPr>
          <w:lang w:val="uk-UA"/>
        </w:rPr>
        <w:t>- периферійне телемеханічне обладнання  зберігає працездатність при змінах напруги живлення в межах ± 20% від Uном. = 220В.</w:t>
      </w:r>
    </w:p>
    <w:p>
      <w:pPr>
        <w:pStyle w:val="17"/>
        <w:spacing w:before="0" w:beforeAutospacing="0" w:after="0" w:afterAutospacing="0"/>
        <w:jc w:val="both"/>
        <w:rPr>
          <w:lang w:val="uk-UA"/>
        </w:rPr>
      </w:pPr>
      <w:r>
        <w:rPr>
          <w:lang w:val="uk-UA"/>
        </w:rPr>
        <w:t>- Вимоги до  безперебійної роботи терміналів виконавчих пунктів</w:t>
      </w:r>
    </w:p>
    <w:p>
      <w:pPr>
        <w:pStyle w:val="17"/>
        <w:spacing w:before="0" w:beforeAutospacing="0" w:after="0" w:afterAutospacing="0"/>
        <w:jc w:val="both"/>
        <w:rPr>
          <w:lang w:val="uk-UA"/>
        </w:rPr>
      </w:pPr>
      <w:r>
        <w:rPr>
          <w:lang w:val="uk-UA"/>
        </w:rPr>
        <w:t>Термінал виконавчого пункту повинен забезпечувати безперебійну роботу в наступних умовах:</w:t>
      </w:r>
    </w:p>
    <w:p>
      <w:pPr>
        <w:pStyle w:val="17"/>
        <w:spacing w:before="0" w:beforeAutospacing="0" w:after="0" w:afterAutospacing="0"/>
        <w:jc w:val="both"/>
        <w:rPr>
          <w:lang w:val="uk-UA"/>
        </w:rPr>
      </w:pPr>
      <w:r>
        <w:rPr>
          <w:lang w:val="uk-UA"/>
        </w:rPr>
        <w:t>- Температуру повітря  - від  - 35°С - +70°С;</w:t>
      </w:r>
    </w:p>
    <w:p>
      <w:pPr>
        <w:pStyle w:val="17"/>
        <w:spacing w:before="0" w:beforeAutospacing="0" w:after="0" w:afterAutospacing="0"/>
        <w:jc w:val="both"/>
        <w:rPr>
          <w:lang w:val="uk-UA"/>
        </w:rPr>
      </w:pPr>
      <w:r>
        <w:rPr>
          <w:lang w:val="uk-UA"/>
        </w:rPr>
        <w:t>- Відносна вологість повітря до 98% при 25°С;</w:t>
      </w:r>
    </w:p>
    <w:p>
      <w:pPr>
        <w:pStyle w:val="17"/>
        <w:spacing w:before="0" w:beforeAutospacing="0" w:after="0" w:afterAutospacing="0"/>
        <w:jc w:val="both"/>
        <w:rPr>
          <w:lang w:val="uk-UA"/>
        </w:rPr>
      </w:pPr>
      <w:r>
        <w:rPr>
          <w:lang w:val="uk-UA"/>
        </w:rPr>
        <w:t>- Обладнання системи має захист від вібрації;</w:t>
      </w:r>
    </w:p>
    <w:p>
      <w:pPr>
        <w:pStyle w:val="17"/>
        <w:spacing w:before="0" w:beforeAutospacing="0" w:after="0" w:afterAutospacing="0"/>
        <w:jc w:val="both"/>
        <w:rPr>
          <w:lang w:val="uk-UA"/>
        </w:rPr>
      </w:pPr>
      <w:r>
        <w:rPr>
          <w:lang w:val="uk-UA"/>
        </w:rPr>
        <w:t>- Обладнання має надійний грозозахист;</w:t>
      </w:r>
    </w:p>
    <w:p>
      <w:pPr>
        <w:pStyle w:val="17"/>
        <w:spacing w:before="0" w:beforeAutospacing="0" w:after="0" w:afterAutospacing="0"/>
        <w:jc w:val="both"/>
        <w:rPr>
          <w:lang w:val="uk-UA"/>
        </w:rPr>
      </w:pPr>
      <w:r>
        <w:rPr>
          <w:lang w:val="uk-UA"/>
        </w:rPr>
        <w:t>- Ступінь захисту обладнання  -  ІР 54, вандалостійкий.</w:t>
      </w:r>
    </w:p>
    <w:p>
      <w:pPr>
        <w:pStyle w:val="17"/>
        <w:spacing w:before="0" w:beforeAutospacing="0" w:after="0" w:afterAutospacing="0"/>
        <w:ind w:firstLine="142"/>
        <w:jc w:val="center"/>
        <w:rPr>
          <w:b/>
          <w:lang w:val="uk-UA"/>
        </w:rPr>
      </w:pPr>
      <w:r>
        <w:rPr>
          <w:b/>
          <w:lang w:val="uk-UA"/>
        </w:rPr>
        <w:t xml:space="preserve">14. </w:t>
      </w:r>
      <w:r>
        <w:rPr>
          <w:b/>
        </w:rPr>
        <w:t>Вимоги до технічних характеристик робочої станції диспетчерського пунктуз програмним забезпеченням</w:t>
      </w:r>
      <w:r>
        <w:rPr>
          <w:b/>
          <w:lang w:val="uk-UA"/>
        </w:rPr>
        <w:t>:</w:t>
      </w:r>
    </w:p>
    <w:p>
      <w:pPr>
        <w:pStyle w:val="17"/>
        <w:spacing w:before="0" w:beforeAutospacing="0" w:after="0" w:afterAutospacing="0"/>
        <w:jc w:val="both"/>
        <w:rPr>
          <w:color w:val="000000"/>
          <w:lang w:val="uk-UA"/>
        </w:rPr>
      </w:pPr>
      <w:r>
        <w:rPr>
          <w:color w:val="000000"/>
          <w:lang w:val="uk-UA"/>
        </w:rPr>
        <w:t>Персональний комп’</w:t>
      </w:r>
      <w:r>
        <w:rPr>
          <w:color w:val="000000"/>
          <w:lang w:val="en-US"/>
        </w:rPr>
        <w:t>ютер</w:t>
      </w:r>
      <w:r>
        <w:rPr>
          <w:color w:val="000000"/>
          <w:lang w:val="uk-UA"/>
        </w:rPr>
        <w:t>:</w:t>
      </w:r>
    </w:p>
    <w:p>
      <w:pPr>
        <w:pStyle w:val="17"/>
        <w:numPr>
          <w:ilvl w:val="0"/>
          <w:numId w:val="12"/>
        </w:numPr>
        <w:spacing w:before="0" w:beforeAutospacing="0" w:after="0" w:afterAutospacing="0"/>
        <w:jc w:val="both"/>
        <w:rPr>
          <w:color w:val="000000"/>
          <w:lang w:val="uk-UA"/>
        </w:rPr>
      </w:pPr>
      <w:r>
        <w:rPr>
          <w:color w:val="000000"/>
          <w:lang w:val="uk-UA"/>
        </w:rPr>
        <w:t xml:space="preserve"> CPU 2.4 GHz   (або еквівалент)  </w:t>
      </w:r>
    </w:p>
    <w:p>
      <w:pPr>
        <w:pStyle w:val="17"/>
        <w:numPr>
          <w:ilvl w:val="0"/>
          <w:numId w:val="12"/>
        </w:numPr>
        <w:spacing w:before="0" w:beforeAutospacing="0" w:after="0" w:afterAutospacing="0"/>
        <w:jc w:val="both"/>
        <w:rPr>
          <w:color w:val="000000"/>
          <w:lang w:val="uk-UA"/>
        </w:rPr>
      </w:pPr>
      <w:r>
        <w:rPr>
          <w:color w:val="000000"/>
          <w:lang w:val="uk-UA"/>
        </w:rPr>
        <w:t xml:space="preserve"> RAM 8 Gb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Миша Optical, 800dpi, USB, 2key + 1scroll\key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Клавіатура провідна, USB (або еквівалент)</w:t>
      </w:r>
    </w:p>
    <w:p>
      <w:pPr>
        <w:pStyle w:val="17"/>
        <w:numPr>
          <w:ilvl w:val="0"/>
          <w:numId w:val="12"/>
        </w:numPr>
        <w:spacing w:before="0" w:beforeAutospacing="0" w:after="0" w:afterAutospacing="0"/>
        <w:jc w:val="both"/>
        <w:rPr>
          <w:color w:val="000000"/>
          <w:lang w:val="uk-UA"/>
        </w:rPr>
      </w:pPr>
      <w:r>
        <w:rPr>
          <w:color w:val="000000"/>
          <w:lang w:val="en-US"/>
        </w:rPr>
        <w:t>SSD</w:t>
      </w:r>
      <w:r>
        <w:rPr>
          <w:color w:val="000000"/>
          <w:lang w:val="uk-UA"/>
        </w:rPr>
        <w:t xml:space="preserve">: </w:t>
      </w:r>
      <w:r>
        <w:rPr>
          <w:color w:val="000000"/>
          <w:lang w:val="en-US"/>
        </w:rPr>
        <w:t>25</w:t>
      </w:r>
      <w:r>
        <w:rPr>
          <w:color w:val="000000"/>
          <w:lang w:val="uk-UA"/>
        </w:rPr>
        <w:t>0 GB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ОС Windows 10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Монітор 24"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Кабель </w:t>
      </w:r>
      <w:r>
        <w:rPr>
          <w:color w:val="000000"/>
          <w:lang w:val="en-US"/>
        </w:rPr>
        <w:t>HDMI</w:t>
      </w:r>
      <w:r>
        <w:rPr>
          <w:color w:val="000000"/>
          <w:lang w:val="uk-UA"/>
        </w:rPr>
        <w:t xml:space="preserve"> 10 m (або еквівалент)</w:t>
      </w:r>
    </w:p>
    <w:p>
      <w:pPr>
        <w:tabs>
          <w:tab w:val="left" w:pos="1134"/>
        </w:tabs>
        <w:spacing w:after="0" w:line="240" w:lineRule="auto"/>
        <w:jc w:val="both"/>
        <w:rPr>
          <w:sz w:val="24"/>
          <w:szCs w:val="24"/>
          <w:lang w:eastAsia="zh-CN"/>
        </w:rPr>
      </w:pPr>
      <w:r>
        <w:rPr>
          <w:sz w:val="24"/>
          <w:szCs w:val="24"/>
          <w:lang w:eastAsia="zh-CN"/>
        </w:rPr>
        <w:t xml:space="preserve">відповідати встановленим/ зареєстрованим діючим нормативним актам чинного законодавства України, які передбачають застосування заходів із захисту довкілля під час постачання товару - предмету закупівлі (Учасником надається довідка в довільній формі за підписом уповноваженої особи учасника та завіреною печаткою (у разі її використання)) та інформація про екологічну безпеку матеріалів. </w:t>
      </w:r>
    </w:p>
    <w:p>
      <w:pPr>
        <w:tabs>
          <w:tab w:val="left" w:pos="1134"/>
        </w:tabs>
        <w:spacing w:after="0" w:line="240" w:lineRule="auto"/>
        <w:jc w:val="both"/>
        <w:rPr>
          <w:sz w:val="24"/>
          <w:szCs w:val="24"/>
          <w:lang w:eastAsia="zh-CN"/>
        </w:rPr>
      </w:pPr>
      <w:r>
        <w:rPr>
          <w:sz w:val="24"/>
          <w:szCs w:val="24"/>
          <w:lang w:eastAsia="zh-CN"/>
        </w:rPr>
        <w:t>17.Переможець оплачує всі витрати, пов'язані з пересилкою товару та документів (договір, накладна, тех. документація)</w:t>
      </w:r>
      <w:r>
        <w:rPr>
          <w:sz w:val="24"/>
          <w:szCs w:val="24"/>
          <w:lang w:val="ru-RU" w:eastAsia="zh-CN"/>
        </w:rPr>
        <w:t>.</w:t>
      </w:r>
      <w:r>
        <w:rPr>
          <w:sz w:val="24"/>
          <w:szCs w:val="24"/>
          <w:lang w:eastAsia="zh-CN"/>
        </w:rPr>
        <w:t xml:space="preserve"> </w:t>
      </w:r>
    </w:p>
    <w:p>
      <w:pPr>
        <w:tabs>
          <w:tab w:val="left" w:pos="993"/>
        </w:tabs>
        <w:suppressAutoHyphens/>
        <w:spacing w:after="0" w:line="240" w:lineRule="auto"/>
        <w:jc w:val="both"/>
        <w:rPr>
          <w:sz w:val="24"/>
          <w:szCs w:val="24"/>
          <w:lang w:eastAsia="zh-CN"/>
        </w:rPr>
      </w:pPr>
      <w:r>
        <w:rPr>
          <w:sz w:val="24"/>
          <w:szCs w:val="24"/>
          <w:lang w:eastAsia="zh-CN"/>
        </w:rPr>
        <w:t>18.Термін постачання: з моменту підписання договору до 31 грудня  2023р.</w:t>
      </w:r>
    </w:p>
    <w:p>
      <w:pPr>
        <w:tabs>
          <w:tab w:val="left" w:pos="993"/>
        </w:tabs>
        <w:suppressAutoHyphens/>
        <w:spacing w:after="0" w:line="240" w:lineRule="auto"/>
        <w:jc w:val="both"/>
        <w:rPr>
          <w:sz w:val="24"/>
          <w:szCs w:val="24"/>
          <w:lang w:eastAsia="zh-CN"/>
        </w:rPr>
      </w:pPr>
      <w:r>
        <w:rPr>
          <w:sz w:val="24"/>
          <w:szCs w:val="24"/>
          <w:lang w:eastAsia="zh-CN"/>
        </w:rPr>
        <w:t>19.Місце поставки Товару: м. Біла Церква  Київської області, вул. Мережна 44А.</w:t>
      </w:r>
    </w:p>
    <w:p>
      <w:pPr>
        <w:spacing w:after="0" w:line="240" w:lineRule="auto"/>
        <w:jc w:val="center"/>
        <w:rPr>
          <w:rFonts w:eastAsia="Calibri"/>
          <w:sz w:val="24"/>
          <w:szCs w:val="24"/>
        </w:rPr>
      </w:pPr>
    </w:p>
    <w:p>
      <w:pPr>
        <w:spacing w:after="0" w:line="240" w:lineRule="auto"/>
        <w:ind w:firstLine="708"/>
        <w:jc w:val="both"/>
        <w:rPr>
          <w:sz w:val="24"/>
          <w:szCs w:val="24"/>
        </w:rPr>
      </w:pPr>
      <w:r>
        <w:rPr>
          <w:sz w:val="24"/>
          <w:szCs w:val="24"/>
        </w:rPr>
        <w:t xml:space="preserve">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Pr>
          <w:b/>
          <w:sz w:val="24"/>
          <w:szCs w:val="24"/>
        </w:rPr>
        <w:t>«або еквівалент»</w:t>
      </w:r>
      <w:r>
        <w:rPr>
          <w:sz w:val="24"/>
          <w:szCs w:val="24"/>
        </w:rPr>
        <w:t>. Усі показники еквіваленту мають бути не гіршими, ніж у товару, зазначеному в цьому переліку</w:t>
      </w:r>
    </w:p>
    <w:p>
      <w:pPr>
        <w:pStyle w:val="24"/>
        <w:tabs>
          <w:tab w:val="left" w:pos="993"/>
        </w:tabs>
        <w:suppressAutoHyphens/>
        <w:spacing w:after="0" w:line="240" w:lineRule="auto"/>
        <w:ind w:left="1068"/>
        <w:jc w:val="both"/>
        <w:rPr>
          <w:sz w:val="24"/>
          <w:szCs w:val="24"/>
        </w:rPr>
      </w:pPr>
    </w:p>
    <w:p>
      <w:pPr>
        <w:pStyle w:val="24"/>
        <w:tabs>
          <w:tab w:val="left" w:pos="1134"/>
        </w:tabs>
        <w:spacing w:after="0" w:line="240" w:lineRule="auto"/>
        <w:ind w:left="709"/>
        <w:jc w:val="both"/>
        <w:rPr>
          <w:sz w:val="24"/>
          <w:szCs w:val="24"/>
          <w:lang w:eastAsia="zh-CN"/>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iCs/>
          <w:sz w:val="22"/>
        </w:rPr>
      </w:pPr>
    </w:p>
    <w:p>
      <w:pPr>
        <w:tabs>
          <w:tab w:val="left" w:pos="360"/>
          <w:tab w:val="left" w:pos="426"/>
        </w:tabs>
        <w:spacing w:after="0" w:line="240" w:lineRule="auto"/>
        <w:jc w:val="right"/>
        <w:rPr>
          <w:color w:val="000000"/>
          <w:sz w:val="22"/>
          <w:lang w:eastAsia="ru-RU"/>
        </w:rPr>
      </w:pPr>
      <w:r>
        <w:rPr>
          <w:color w:val="000000"/>
          <w:sz w:val="22"/>
          <w:lang w:eastAsia="ru-RU"/>
        </w:rPr>
        <w:t>Додаток № 4 до тендерної документації</w:t>
      </w:r>
    </w:p>
    <w:p>
      <w:pPr>
        <w:tabs>
          <w:tab w:val="right" w:pos="9639"/>
        </w:tabs>
        <w:spacing w:after="0" w:line="240" w:lineRule="auto"/>
        <w:jc w:val="center"/>
        <w:rPr>
          <w:color w:val="000000"/>
          <w:sz w:val="22"/>
          <w:lang w:eastAsia="ru-RU"/>
        </w:rPr>
      </w:pPr>
    </w:p>
    <w:p>
      <w:pPr>
        <w:spacing w:after="0" w:line="240" w:lineRule="auto"/>
        <w:jc w:val="center"/>
        <w:rPr>
          <w:i/>
          <w:color w:val="000000"/>
          <w:sz w:val="22"/>
          <w:lang w:eastAsia="ru-RU"/>
        </w:rPr>
      </w:pPr>
      <w:r>
        <w:rPr>
          <w:i/>
          <w:color w:val="000000"/>
          <w:sz w:val="22"/>
          <w:lang w:eastAsia="ru-RU"/>
        </w:rPr>
        <w:t>Пропозиція конкурсних торгів  подається у вигляді, наведеному нижче на фірмовому бланку Учасника за його наявності, за підписом керівника або уповноваженої особи Учасника та скріплена печаткою (у разі її наявності)*.  Учасник не повинен відступати від даної форми.</w:t>
      </w:r>
    </w:p>
    <w:p>
      <w:pPr>
        <w:spacing w:after="0" w:line="240" w:lineRule="auto"/>
        <w:ind w:hanging="720"/>
        <w:jc w:val="center"/>
        <w:rPr>
          <w:color w:val="000000"/>
          <w:sz w:val="22"/>
          <w:lang w:eastAsia="ru-RU"/>
        </w:rPr>
      </w:pPr>
      <w:r>
        <w:rPr>
          <w:color w:val="000000"/>
          <w:sz w:val="22"/>
          <w:lang w:eastAsia="ru-RU"/>
        </w:rPr>
        <w:t>ЦІНОВА ПРОПОЗИЦІЯ</w:t>
      </w:r>
    </w:p>
    <w:p>
      <w:pPr>
        <w:widowControl w:val="0"/>
        <w:suppressAutoHyphens/>
        <w:autoSpaceDE w:val="0"/>
        <w:spacing w:after="0" w:line="240" w:lineRule="auto"/>
        <w:ind w:firstLine="708"/>
        <w:jc w:val="both"/>
        <w:rPr>
          <w:rFonts w:ascii="Times New Roman CYR" w:hAnsi="Times New Roman CYR" w:cs="Times New Roman CYR"/>
          <w:sz w:val="24"/>
          <w:szCs w:val="24"/>
          <w:lang w:eastAsia="zh-CN"/>
        </w:rPr>
      </w:pPr>
      <w:r>
        <w:rPr>
          <w:b/>
          <w:sz w:val="24"/>
          <w:szCs w:val="24"/>
          <w:lang w:eastAsia="zh-CN"/>
        </w:rPr>
        <w:t xml:space="preserve">Ми __________________________________________ </w:t>
      </w:r>
      <w:r>
        <w:rPr>
          <w:i/>
          <w:sz w:val="24"/>
          <w:szCs w:val="24"/>
          <w:lang w:eastAsia="zh-CN"/>
        </w:rPr>
        <w:t xml:space="preserve">(в цьому місці зазначається </w:t>
      </w:r>
      <w:r>
        <w:rPr>
          <w:rFonts w:ascii="Times New Roman CYR" w:hAnsi="Times New Roman CYR" w:cs="Times New Roman CYR"/>
          <w:sz w:val="24"/>
          <w:szCs w:val="24"/>
          <w:lang w:eastAsia="zh-CN"/>
        </w:rPr>
        <w:t xml:space="preserve">повне найменування Учасника) надаємо свою пропозицію щодо участі у відкритих торгах на закупівлю за предметом: </w:t>
      </w:r>
      <w:r>
        <w:rPr>
          <w:color w:val="000000"/>
          <w:sz w:val="24"/>
          <w:szCs w:val="24"/>
          <w:lang w:eastAsia="uk-UA"/>
        </w:rPr>
        <w:t>Код ДК 021:2015: 32440000-9 Телеметричне та термінальне обладнання - термінал виконавчого пункту  СУГО</w:t>
      </w:r>
      <w:r>
        <w:rPr>
          <w:rFonts w:hint="default"/>
          <w:color w:val="000000"/>
          <w:sz w:val="24"/>
          <w:szCs w:val="24"/>
          <w:lang w:val="en-US" w:eastAsia="uk-UA"/>
        </w:rPr>
        <w:t xml:space="preserve"> </w:t>
      </w:r>
      <w:r>
        <w:rPr>
          <w:color w:val="000000"/>
          <w:sz w:val="24"/>
          <w:szCs w:val="24"/>
          <w:lang w:eastAsia="uk-UA"/>
        </w:rPr>
        <w:t>«або еквівалент»,  робоча станція диспетчерського пункту з програмним забезпеченням</w:t>
      </w:r>
      <w:r>
        <w:rPr>
          <w:rFonts w:ascii="Times New Roman CYR" w:hAnsi="Times New Roman CYR" w:cs="Times New Roman CYR"/>
          <w:sz w:val="24"/>
          <w:szCs w:val="24"/>
          <w:lang w:eastAsia="zh-CN"/>
        </w:rPr>
        <w:t>.</w:t>
      </w:r>
    </w:p>
    <w:p>
      <w:pPr>
        <w:widowControl w:val="0"/>
        <w:suppressAutoHyphens/>
        <w:autoSpaceDE w:val="0"/>
        <w:spacing w:after="0" w:line="240" w:lineRule="auto"/>
        <w:ind w:right="142"/>
        <w:jc w:val="both"/>
        <w:rPr>
          <w:sz w:val="24"/>
          <w:szCs w:val="24"/>
          <w:lang w:eastAsia="zh-CN"/>
        </w:rPr>
      </w:pPr>
      <w:r>
        <w:rPr>
          <w:rFonts w:ascii="Times New Roman CYR" w:hAnsi="Times New Roman CYR" w:cs="Times New Roman CYR"/>
          <w:b/>
          <w:sz w:val="24"/>
          <w:szCs w:val="24"/>
          <w:lang w:eastAsia="zh-CN"/>
        </w:rPr>
        <w:t xml:space="preserve">        </w:t>
      </w:r>
      <w:r>
        <w:rPr>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pPr>
        <w:spacing w:after="0" w:line="240" w:lineRule="auto"/>
        <w:ind w:hanging="720"/>
        <w:jc w:val="center"/>
        <w:rPr>
          <w:color w:val="000000"/>
          <w:sz w:val="22"/>
          <w:lang w:eastAsia="ru-RU"/>
        </w:rPr>
      </w:pPr>
    </w:p>
    <w:tbl>
      <w:tblPr>
        <w:tblStyle w:val="6"/>
        <w:tblW w:w="9857" w:type="dxa"/>
        <w:tblInd w:w="93" w:type="dxa"/>
        <w:tblLayout w:type="fixed"/>
        <w:tblCellMar>
          <w:top w:w="0" w:type="dxa"/>
          <w:left w:w="108" w:type="dxa"/>
          <w:bottom w:w="0" w:type="dxa"/>
          <w:right w:w="108" w:type="dxa"/>
        </w:tblCellMar>
      </w:tblPr>
      <w:tblGrid>
        <w:gridCol w:w="724"/>
        <w:gridCol w:w="3969"/>
        <w:gridCol w:w="1276"/>
        <w:gridCol w:w="992"/>
        <w:gridCol w:w="1418"/>
        <w:gridCol w:w="1478"/>
      </w:tblGrid>
      <w:tr>
        <w:tblPrEx>
          <w:tblCellMar>
            <w:top w:w="0" w:type="dxa"/>
            <w:left w:w="108" w:type="dxa"/>
            <w:bottom w:w="0" w:type="dxa"/>
            <w:right w:w="108" w:type="dxa"/>
          </w:tblCellMar>
        </w:tblPrEx>
        <w:trPr>
          <w:trHeight w:val="58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contextualSpacing/>
              <w:jc w:val="center"/>
              <w:rPr>
                <w:color w:val="000000"/>
                <w:sz w:val="22"/>
                <w:lang w:eastAsia="ru-RU"/>
              </w:rPr>
            </w:pPr>
            <w:r>
              <w:rPr>
                <w:color w:val="000000"/>
                <w:sz w:val="22"/>
                <w:lang w:eastAsia="ru-RU"/>
              </w:rPr>
              <w:t>№ з/п</w:t>
            </w:r>
          </w:p>
        </w:tc>
        <w:tc>
          <w:tcPr>
            <w:tcW w:w="396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Найменування товару</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Одиниця виміру</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Кіль-</w:t>
            </w:r>
          </w:p>
          <w:p>
            <w:pPr>
              <w:spacing w:after="0" w:line="240" w:lineRule="auto"/>
              <w:contextualSpacing/>
              <w:jc w:val="center"/>
              <w:rPr>
                <w:color w:val="000000"/>
                <w:sz w:val="22"/>
                <w:lang w:eastAsia="ru-RU"/>
              </w:rPr>
            </w:pPr>
            <w:r>
              <w:rPr>
                <w:color w:val="000000"/>
                <w:sz w:val="22"/>
                <w:lang w:eastAsia="ru-RU"/>
              </w:rPr>
              <w:t>кість</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Ціна, грн. (без ПДВ)</w:t>
            </w:r>
          </w:p>
        </w:tc>
        <w:tc>
          <w:tcPr>
            <w:tcW w:w="147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contextualSpacing/>
              <w:jc w:val="center"/>
              <w:rPr>
                <w:color w:val="000000"/>
                <w:sz w:val="22"/>
                <w:lang w:eastAsia="ru-RU"/>
              </w:rPr>
            </w:pPr>
            <w:r>
              <w:rPr>
                <w:color w:val="000000"/>
                <w:sz w:val="22"/>
                <w:lang w:eastAsia="ru-RU"/>
              </w:rPr>
              <w:t>Всього грн.</w:t>
            </w:r>
          </w:p>
          <w:p>
            <w:pPr>
              <w:spacing w:after="0" w:line="240" w:lineRule="auto"/>
              <w:contextualSpacing/>
              <w:jc w:val="center"/>
              <w:rPr>
                <w:color w:val="000000"/>
                <w:sz w:val="22"/>
                <w:lang w:eastAsia="ru-RU"/>
              </w:rPr>
            </w:pPr>
            <w:r>
              <w:rPr>
                <w:color w:val="000000"/>
                <w:sz w:val="22"/>
                <w:lang w:eastAsia="ru-RU"/>
              </w:rPr>
              <w:t xml:space="preserve">(без ПДВ)  </w:t>
            </w:r>
          </w:p>
        </w:tc>
      </w:tr>
      <w:tr>
        <w:tblPrEx>
          <w:tblCellMar>
            <w:top w:w="0" w:type="dxa"/>
            <w:left w:w="108" w:type="dxa"/>
            <w:bottom w:w="0" w:type="dxa"/>
            <w:right w:w="108" w:type="dxa"/>
          </w:tblCellMar>
        </w:tblPrEx>
        <w:trPr>
          <w:trHeight w:val="58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23" w:hRule="atLeast"/>
        </w:trPr>
        <w:tc>
          <w:tcPr>
            <w:tcW w:w="8379" w:type="dxa"/>
            <w:gridSpan w:val="5"/>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Всього грн. без ПДВ **</w:t>
            </w: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23" w:hRule="atLeast"/>
        </w:trPr>
        <w:tc>
          <w:tcPr>
            <w:tcW w:w="8379" w:type="dxa"/>
            <w:gridSpan w:val="5"/>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ПДВ- 20% *</w:t>
            </w: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92" w:hRule="atLeast"/>
        </w:trPr>
        <w:tc>
          <w:tcPr>
            <w:tcW w:w="8379" w:type="dxa"/>
            <w:gridSpan w:val="5"/>
            <w:tcBorders>
              <w:top w:val="nil"/>
              <w:left w:val="single" w:color="auto" w:sz="4" w:space="0"/>
              <w:bottom w:val="nil"/>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Всього грн. з ПДВ *</w:t>
            </w:r>
          </w:p>
        </w:tc>
        <w:tc>
          <w:tcPr>
            <w:tcW w:w="1478" w:type="dxa"/>
            <w:tcBorders>
              <w:top w:val="nil"/>
              <w:left w:val="nil"/>
              <w:bottom w:val="nil"/>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23" w:hRule="atLeast"/>
        </w:trPr>
        <w:tc>
          <w:tcPr>
            <w:tcW w:w="9857" w:type="dxa"/>
            <w:gridSpan w:val="6"/>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 xml:space="preserve">Сума прописом: </w:t>
            </w:r>
          </w:p>
        </w:tc>
      </w:tr>
    </w:tbl>
    <w:p>
      <w:pPr>
        <w:tabs>
          <w:tab w:val="left" w:pos="540"/>
        </w:tabs>
        <w:spacing w:after="0" w:line="240" w:lineRule="auto"/>
        <w:ind w:firstLine="567"/>
        <w:jc w:val="both"/>
        <w:rPr>
          <w:color w:val="000000"/>
          <w:sz w:val="24"/>
          <w:szCs w:val="24"/>
        </w:rPr>
      </w:pPr>
      <w:r>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tabs>
          <w:tab w:val="left" w:pos="540"/>
        </w:tabs>
        <w:spacing w:after="0" w:line="240" w:lineRule="auto"/>
        <w:ind w:firstLine="567"/>
        <w:jc w:val="both"/>
        <w:rPr>
          <w:color w:val="000000"/>
          <w:sz w:val="24"/>
          <w:szCs w:val="24"/>
        </w:rPr>
      </w:pPr>
      <w:r>
        <w:rPr>
          <w:color w:val="000000"/>
          <w:sz w:val="24"/>
          <w:szCs w:val="24"/>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widowControl w:val="0"/>
        <w:autoSpaceDE w:val="0"/>
        <w:autoSpaceDN w:val="0"/>
        <w:spacing w:after="0" w:line="240" w:lineRule="auto"/>
        <w:ind w:firstLine="708"/>
        <w:jc w:val="both"/>
        <w:rPr>
          <w:i/>
          <w:color w:val="000000"/>
          <w:sz w:val="22"/>
          <w:lang w:eastAsia="ru-RU"/>
        </w:rPr>
      </w:pPr>
      <w:r>
        <w:rPr>
          <w:i/>
          <w:color w:val="000000"/>
          <w:sz w:val="22"/>
          <w:lang w:eastAsia="ru-RU"/>
        </w:rPr>
        <w:t xml:space="preserve">* заповнюється учасником, що є платником податку на додану вартість </w:t>
      </w:r>
    </w:p>
    <w:p>
      <w:pPr>
        <w:widowControl w:val="0"/>
        <w:autoSpaceDE w:val="0"/>
        <w:autoSpaceDN w:val="0"/>
        <w:spacing w:after="0" w:line="240" w:lineRule="auto"/>
        <w:ind w:firstLine="708"/>
        <w:jc w:val="both"/>
        <w:rPr>
          <w:i/>
          <w:color w:val="000000"/>
          <w:sz w:val="22"/>
          <w:lang w:eastAsia="ru-RU"/>
        </w:rPr>
      </w:pPr>
      <w:r>
        <w:rPr>
          <w:i/>
          <w:color w:val="000000"/>
          <w:sz w:val="22"/>
          <w:lang w:eastAsia="ru-RU"/>
        </w:rPr>
        <w:t>** цінова пропозиція учасника не платника ПДВ не повинна перевищувати орієнтовну вартість закупівель.</w:t>
      </w:r>
    </w:p>
    <w:p>
      <w:pPr>
        <w:spacing w:after="0" w:line="240" w:lineRule="auto"/>
        <w:ind w:firstLine="480"/>
        <w:jc w:val="both"/>
        <w:rPr>
          <w:i/>
          <w:color w:val="000000"/>
          <w:sz w:val="22"/>
          <w:lang w:eastAsia="ru-RU"/>
        </w:rPr>
      </w:pPr>
      <w:r>
        <w:rPr>
          <w:i/>
          <w:color w:val="000000"/>
          <w:sz w:val="22"/>
          <w:lang w:eastAsia="ru-RU"/>
        </w:rPr>
        <w:t>*Ціна пропозиції включає в себе всі витрати на доставку, податки і збори, необхідні платежі, що сплачуються або мають бути сплачені Учасником, згідно із законодавством України.</w:t>
      </w:r>
    </w:p>
    <w:p>
      <w:pPr>
        <w:spacing w:after="0" w:line="240" w:lineRule="auto"/>
        <w:ind w:firstLine="454"/>
        <w:jc w:val="both"/>
        <w:rPr>
          <w:color w:val="000000"/>
          <w:sz w:val="22"/>
          <w:lang w:eastAsia="ru-RU"/>
        </w:rPr>
      </w:pPr>
    </w:p>
    <w:p>
      <w:pPr>
        <w:spacing w:after="0" w:line="240" w:lineRule="auto"/>
        <w:ind w:firstLine="454"/>
        <w:jc w:val="both"/>
        <w:rPr>
          <w:color w:val="000000"/>
          <w:sz w:val="22"/>
          <w:lang w:eastAsia="ru-RU"/>
        </w:rPr>
      </w:pPr>
      <w:r>
        <w:rPr>
          <w:color w:val="000000"/>
          <w:sz w:val="22"/>
          <w:lang w:eastAsia="ru-RU"/>
        </w:rPr>
        <w:t xml:space="preserve"> (дата)      (Підпис уповноваженої особи, завірений печаткою (за наявності))</w:t>
      </w:r>
    </w:p>
    <w:p>
      <w:pPr>
        <w:spacing w:after="0" w:line="240" w:lineRule="auto"/>
        <w:jc w:val="both"/>
        <w:rPr>
          <w:sz w:val="24"/>
          <w:szCs w:val="24"/>
          <w:lang w:eastAsia="ru-RU"/>
        </w:rPr>
      </w:pPr>
      <w:r>
        <w:rPr>
          <w:sz w:val="24"/>
          <w:szCs w:val="24"/>
          <w:lang w:eastAsia="ru-RU"/>
        </w:rPr>
        <w:t>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sz w:val="24"/>
          <w:szCs w:val="24"/>
          <w:lang w:eastAsia="ru-RU"/>
        </w:rPr>
      </w:pPr>
      <w:r>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sz w:val="24"/>
          <w:szCs w:val="24"/>
          <w:lang w:eastAsia="ru-RU"/>
        </w:rPr>
      </w:pPr>
      <w:r>
        <w:rPr>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sz w:val="24"/>
          <w:szCs w:val="24"/>
          <w:lang w:eastAsia="ru-RU"/>
        </w:rPr>
      </w:pPr>
      <w:r>
        <w:rPr>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sz w:val="24"/>
          <w:szCs w:val="24"/>
          <w:lang w:eastAsia="ru-RU"/>
        </w:rPr>
      </w:pPr>
      <w:r>
        <w:rPr>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sz w:val="24"/>
          <w:szCs w:val="24"/>
          <w:lang w:eastAsia="ru-RU"/>
        </w:rPr>
      </w:pPr>
      <w:r>
        <w:rPr>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sz w:val="24"/>
          <w:szCs w:val="24"/>
          <w:lang w:eastAsia="ru-RU"/>
        </w:rPr>
      </w:pPr>
      <w:r>
        <w:rPr>
          <w:sz w:val="24"/>
          <w:szCs w:val="24"/>
          <w:lang w:eastAsia="ru-RU"/>
        </w:rPr>
        <w:t>8) зміни умов у зв’язку із застосуванням положень </w:t>
      </w:r>
      <w:r>
        <w:fldChar w:fldCharType="begin"/>
      </w:r>
      <w:r>
        <w:instrText xml:space="preserve"> HYPERLINK "https://zakon.rada.gov.ua/laws/show/922-19" \l "n1778" \t "_blank" </w:instrText>
      </w:r>
      <w:r>
        <w:fldChar w:fldCharType="separate"/>
      </w:r>
      <w:r>
        <w:rPr>
          <w:sz w:val="24"/>
          <w:szCs w:val="24"/>
          <w:lang w:eastAsia="ru-RU"/>
        </w:rPr>
        <w:t>частини шостої</w:t>
      </w:r>
      <w:r>
        <w:rPr>
          <w:sz w:val="24"/>
          <w:szCs w:val="24"/>
          <w:lang w:eastAsia="ru-RU"/>
        </w:rPr>
        <w:fldChar w:fldCharType="end"/>
      </w:r>
      <w:r>
        <w:rPr>
          <w:sz w:val="24"/>
          <w:szCs w:val="24"/>
          <w:lang w:eastAsia="ru-RU"/>
        </w:rPr>
        <w:t> статті 41 Закону.</w:t>
      </w:r>
    </w:p>
    <w:p>
      <w:pPr>
        <w:spacing w:after="0" w:line="240" w:lineRule="auto"/>
        <w:jc w:val="both"/>
        <w:rPr>
          <w:sz w:val="24"/>
          <w:szCs w:val="24"/>
          <w:lang w:eastAsia="ru-RU"/>
        </w:rPr>
      </w:pPr>
      <w:r>
        <w:rPr>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sz w:val="24"/>
          <w:szCs w:val="24"/>
          <w:lang w:eastAsia="ru-RU"/>
        </w:rPr>
        <w:t>Закону</w:t>
      </w:r>
      <w:r>
        <w:rPr>
          <w:sz w:val="24"/>
          <w:szCs w:val="24"/>
          <w:lang w:eastAsia="ru-RU"/>
        </w:rPr>
        <w:fldChar w:fldCharType="end"/>
      </w:r>
      <w:r>
        <w:rPr>
          <w:sz w:val="24"/>
          <w:szCs w:val="24"/>
          <w:lang w:eastAsia="ru-RU"/>
        </w:rPr>
        <w:t> з урахуванням  особливостей,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від 12.10.2022 № 1178.</w:t>
      </w:r>
    </w:p>
    <w:p>
      <w:pPr>
        <w:numPr>
          <w:ilvl w:val="0"/>
          <w:numId w:val="13"/>
        </w:numPr>
        <w:spacing w:after="0" w:line="240" w:lineRule="auto"/>
        <w:ind w:right="-1"/>
        <w:contextualSpacing/>
        <w:jc w:val="center"/>
        <w:rPr>
          <w:rFonts w:cs="Mangal"/>
          <w:b/>
          <w:caps/>
          <w:sz w:val="24"/>
          <w:szCs w:val="24"/>
          <w:lang w:eastAsia="ru-RU"/>
        </w:rPr>
      </w:pPr>
      <w:r>
        <w:rPr>
          <w:rFonts w:cs="Mangal"/>
          <w:b/>
          <w:caps/>
          <w:sz w:val="24"/>
          <w:szCs w:val="24"/>
          <w:lang w:eastAsia="ru-RU"/>
        </w:rPr>
        <w:t>порядок та строк поставки</w:t>
      </w:r>
    </w:p>
    <w:p>
      <w:pPr>
        <w:pStyle w:val="24"/>
        <w:numPr>
          <w:ilvl w:val="1"/>
          <w:numId w:val="13"/>
        </w:numPr>
        <w:tabs>
          <w:tab w:val="left" w:pos="1134"/>
        </w:tabs>
        <w:spacing w:after="0" w:line="240" w:lineRule="auto"/>
        <w:ind w:left="0" w:firstLine="567"/>
        <w:jc w:val="both"/>
        <w:rPr>
          <w:sz w:val="24"/>
          <w:szCs w:val="24"/>
          <w:lang w:eastAsia="ru-RU"/>
        </w:rPr>
      </w:pPr>
      <w:r>
        <w:rPr>
          <w:sz w:val="24"/>
          <w:szCs w:val="24"/>
          <w:lang w:eastAsia="ru-RU"/>
        </w:rPr>
        <w:t>Постачальник протягом 10 (десяти) календарних днів з дня отримання  заявки Покупця здійснює поставку товару.</w:t>
      </w:r>
    </w:p>
    <w:p>
      <w:pPr>
        <w:pStyle w:val="24"/>
        <w:numPr>
          <w:ilvl w:val="1"/>
          <w:numId w:val="13"/>
        </w:numPr>
        <w:tabs>
          <w:tab w:val="left" w:pos="1134"/>
        </w:tabs>
        <w:spacing w:after="0" w:line="240" w:lineRule="auto"/>
        <w:ind w:left="0" w:firstLine="567"/>
        <w:jc w:val="both"/>
        <w:rPr>
          <w:sz w:val="24"/>
          <w:szCs w:val="24"/>
          <w:lang w:eastAsia="ru-RU"/>
        </w:rPr>
      </w:pPr>
      <w:r>
        <w:rPr>
          <w:sz w:val="24"/>
          <w:szCs w:val="24"/>
          <w:lang w:eastAsia="ru-RU"/>
        </w:rPr>
        <w:t>Місце поставки Товару: м. Біла Церква  Київської області, вул. Мережна 44А.</w:t>
      </w:r>
    </w:p>
    <w:p>
      <w:pPr>
        <w:pStyle w:val="24"/>
        <w:numPr>
          <w:ilvl w:val="1"/>
          <w:numId w:val="13"/>
        </w:numPr>
        <w:tabs>
          <w:tab w:val="left" w:pos="1134"/>
        </w:tabs>
        <w:spacing w:after="0" w:line="240" w:lineRule="auto"/>
        <w:ind w:left="0" w:firstLine="567"/>
        <w:jc w:val="both"/>
        <w:rPr>
          <w:sz w:val="24"/>
          <w:szCs w:val="24"/>
          <w:lang w:eastAsia="ru-RU"/>
        </w:rPr>
      </w:pPr>
      <w:r>
        <w:rPr>
          <w:sz w:val="24"/>
          <w:szCs w:val="24"/>
        </w:rPr>
        <w:t>Постачальник оплачує всі витрати, пов'язані з пересилкою  товару та документів (договір, накладна, тех. документація) через  службу адресної доставки (Нова пошта).У разі поставки неякісного товару, товар повертається Постачальнику, або підлягає обміну за рахунок Постачальника.</w:t>
      </w:r>
    </w:p>
    <w:p>
      <w:pPr>
        <w:pStyle w:val="24"/>
        <w:numPr>
          <w:ilvl w:val="1"/>
          <w:numId w:val="13"/>
        </w:numPr>
        <w:tabs>
          <w:tab w:val="left" w:pos="1134"/>
        </w:tabs>
        <w:spacing w:after="0" w:line="240" w:lineRule="auto"/>
        <w:ind w:left="0" w:firstLine="567"/>
        <w:jc w:val="both"/>
        <w:rPr>
          <w:sz w:val="24"/>
          <w:szCs w:val="24"/>
          <w:lang w:eastAsia="ru-RU"/>
        </w:rPr>
      </w:pPr>
      <w:r>
        <w:rPr>
          <w:sz w:val="24"/>
          <w:szCs w:val="24"/>
        </w:rPr>
        <w:t>Термін поставки до 31.12.202</w:t>
      </w:r>
      <w:r>
        <w:rPr>
          <w:sz w:val="24"/>
          <w:szCs w:val="24"/>
          <w:lang w:val="ru-RU"/>
        </w:rPr>
        <w:t>3</w:t>
      </w:r>
      <w:r>
        <w:rPr>
          <w:sz w:val="24"/>
          <w:szCs w:val="24"/>
        </w:rPr>
        <w:t xml:space="preserve"> року.</w:t>
      </w:r>
    </w:p>
    <w:p>
      <w:pPr>
        <w:pStyle w:val="24"/>
        <w:numPr>
          <w:ilvl w:val="1"/>
          <w:numId w:val="13"/>
        </w:numPr>
        <w:tabs>
          <w:tab w:val="left" w:pos="1134"/>
        </w:tabs>
        <w:spacing w:after="0" w:line="240" w:lineRule="auto"/>
        <w:ind w:left="0" w:firstLine="567"/>
        <w:jc w:val="both"/>
        <w:rPr>
          <w:sz w:val="24"/>
          <w:szCs w:val="24"/>
          <w:lang w:eastAsia="ru-RU"/>
        </w:rPr>
      </w:pPr>
      <w:r>
        <w:rPr>
          <w:sz w:val="24"/>
          <w:szCs w:val="24"/>
          <w:lang w:eastAsia="ru-RU"/>
        </w:rPr>
        <w:t>Датою поставки Товару визнається дата, коли Товар у відповідній кількості та комплектності повністю переданий Покупцю, що оформлюється підписанням видаткової накладної на Товар.</w:t>
      </w:r>
    </w:p>
    <w:p>
      <w:pPr>
        <w:pStyle w:val="24"/>
        <w:numPr>
          <w:ilvl w:val="1"/>
          <w:numId w:val="13"/>
        </w:numPr>
        <w:tabs>
          <w:tab w:val="left" w:pos="1134"/>
        </w:tabs>
        <w:spacing w:after="0" w:line="240" w:lineRule="auto"/>
        <w:ind w:left="0" w:firstLine="567"/>
        <w:jc w:val="both"/>
        <w:rPr>
          <w:sz w:val="24"/>
          <w:szCs w:val="24"/>
          <w:lang w:eastAsia="ru-RU"/>
        </w:rPr>
      </w:pPr>
      <w:r>
        <w:rPr>
          <w:rFonts w:cs="Mangal"/>
          <w:sz w:val="24"/>
          <w:szCs w:val="24"/>
          <w:lang w:eastAsia="ru-RU"/>
        </w:rPr>
        <w:t>Приймання-передача  Товару здійснюється у відповідності до вимог Інструкцій Держарбітражу П-6 від 15.06.65 р. і П-7 від 25.04.66 р. Фактичний обсяг поставки</w:t>
      </w:r>
      <w:r>
        <w:rPr>
          <w:rFonts w:cs="Mangal"/>
          <w:sz w:val="24"/>
          <w:szCs w:val="24"/>
          <w:lang w:val="ru-RU" w:eastAsia="ru-RU"/>
        </w:rPr>
        <w:t xml:space="preserve"> та комплектність поставленого Товару </w:t>
      </w:r>
      <w:r>
        <w:rPr>
          <w:rFonts w:cs="Mangal"/>
          <w:sz w:val="24"/>
          <w:szCs w:val="24"/>
          <w:lang w:eastAsia="ru-RU"/>
        </w:rPr>
        <w:t>визначаються в момент отримання Товару виходячи з даних товарно-супровідних документів. Прийняття Товару по якості здійснюється відповідно до документів, які підтверджують якість Товару.</w:t>
      </w:r>
    </w:p>
    <w:p>
      <w:pPr>
        <w:spacing w:after="0" w:line="240" w:lineRule="auto"/>
        <w:ind w:firstLine="540"/>
        <w:jc w:val="center"/>
        <w:rPr>
          <w:b/>
          <w:caps/>
          <w:sz w:val="24"/>
          <w:szCs w:val="24"/>
          <w:lang w:eastAsia="ru-RU"/>
        </w:rPr>
      </w:pPr>
    </w:p>
    <w:p>
      <w:pPr>
        <w:spacing w:after="0" w:line="240" w:lineRule="auto"/>
        <w:ind w:firstLine="540"/>
        <w:jc w:val="center"/>
        <w:rPr>
          <w:b/>
          <w:caps/>
          <w:sz w:val="24"/>
          <w:szCs w:val="24"/>
          <w:lang w:eastAsia="ru-RU"/>
        </w:rPr>
      </w:pPr>
      <w:r>
        <w:rPr>
          <w:b/>
          <w:caps/>
          <w:sz w:val="24"/>
          <w:szCs w:val="24"/>
          <w:lang w:eastAsia="ru-RU"/>
        </w:rPr>
        <w:t>3. якість товару</w:t>
      </w:r>
    </w:p>
    <w:p>
      <w:pPr>
        <w:spacing w:after="0" w:line="240" w:lineRule="auto"/>
        <w:ind w:firstLine="540"/>
        <w:jc w:val="both"/>
        <w:rPr>
          <w:sz w:val="24"/>
          <w:szCs w:val="24"/>
          <w:lang w:eastAsia="ru-RU"/>
        </w:rPr>
      </w:pPr>
      <w:r>
        <w:rPr>
          <w:sz w:val="24"/>
          <w:szCs w:val="24"/>
          <w:lang w:eastAsia="ru-RU"/>
        </w:rPr>
        <w:t>3.1. Товар, що поставляється Постачальником, повинен відповідати державним стандартам, діючим на території України, або технічним умовам виробника і постачатись комплектно. Постачальник повинен засвідчити якість Товару, що поставляється, технічним паспортом,</w:t>
      </w:r>
      <w:r>
        <w:rPr>
          <w:rFonts w:eastAsia="Andale Sans UI"/>
          <w:sz w:val="24"/>
          <w:szCs w:val="24"/>
        </w:rPr>
        <w:t xml:space="preserve"> сертифікатам/іншим документам з якості товару, виробника та/або відповідного органу сертифікації (за їх наявності),</w:t>
      </w:r>
      <w:r>
        <w:rPr>
          <w:sz w:val="24"/>
          <w:szCs w:val="24"/>
          <w:lang w:eastAsia="ru-RU"/>
        </w:rPr>
        <w:t xml:space="preserve"> та іншими </w:t>
      </w:r>
      <w:r>
        <w:rPr>
          <w:color w:val="000000"/>
          <w:sz w:val="24"/>
          <w:szCs w:val="24"/>
          <w:lang w:eastAsia="uk-UA" w:bidi="uk-UA"/>
        </w:rPr>
        <w:t xml:space="preserve">  документами, що додаються до товару.</w:t>
      </w:r>
    </w:p>
    <w:p>
      <w:pPr>
        <w:pStyle w:val="44"/>
        <w:shd w:val="clear" w:color="auto" w:fill="auto"/>
        <w:spacing w:line="240" w:lineRule="auto"/>
        <w:ind w:firstLine="540"/>
        <w:jc w:val="both"/>
        <w:rPr>
          <w:rFonts w:ascii="Times New Roman" w:hAnsi="Times New Roman"/>
          <w:sz w:val="24"/>
          <w:szCs w:val="24"/>
          <w:lang w:val="uk-UA"/>
        </w:rPr>
      </w:pPr>
      <w:r>
        <w:rPr>
          <w:rFonts w:ascii="Times New Roman" w:hAnsi="Times New Roman"/>
          <w:color w:val="000000"/>
          <w:sz w:val="24"/>
          <w:szCs w:val="24"/>
          <w:lang w:val="uk-UA" w:eastAsia="uk-UA" w:bidi="uk-UA"/>
        </w:rPr>
        <w:t>3.2.Постачальник надає гарантії (гарантійні строки) щодо забезпечення належної роботи (застосування, використання) товару,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pPr>
        <w:spacing w:after="0" w:line="240" w:lineRule="auto"/>
        <w:ind w:firstLine="540"/>
        <w:jc w:val="both"/>
        <w:rPr>
          <w:sz w:val="24"/>
          <w:szCs w:val="24"/>
          <w:lang w:eastAsia="ru-RU"/>
        </w:rPr>
      </w:pPr>
      <w:r>
        <w:rPr>
          <w:color w:val="000000"/>
          <w:sz w:val="24"/>
          <w:szCs w:val="24"/>
          <w:lang w:eastAsia="uk-UA" w:bidi="uk-UA"/>
        </w:rPr>
        <w:t>3.3. Гарантійний строк зазначається  в паспорті на товар або в будь-якому іншому технічному супровідному документі, що його замінює і додається до товару.</w:t>
      </w:r>
    </w:p>
    <w:p>
      <w:pPr>
        <w:spacing w:after="0" w:line="240" w:lineRule="auto"/>
        <w:ind w:firstLine="540"/>
        <w:jc w:val="both"/>
        <w:rPr>
          <w:sz w:val="24"/>
          <w:szCs w:val="24"/>
          <w:lang w:eastAsia="ru-RU"/>
        </w:rPr>
      </w:pPr>
      <w:r>
        <w:rPr>
          <w:sz w:val="24"/>
          <w:szCs w:val="24"/>
          <w:lang w:eastAsia="ru-RU"/>
        </w:rPr>
        <w:t>3.4.  Постачальник гарантує якість та надійність Товару, що поставляє, протягом гарантійного строку або строку придатності, встановлених виробником або Постачальником.</w:t>
      </w:r>
    </w:p>
    <w:p>
      <w:pPr>
        <w:spacing w:after="0" w:line="240" w:lineRule="auto"/>
        <w:ind w:firstLine="540"/>
        <w:jc w:val="both"/>
        <w:rPr>
          <w:sz w:val="24"/>
          <w:szCs w:val="24"/>
          <w:lang w:eastAsia="ru-RU"/>
        </w:rPr>
      </w:pPr>
      <w:r>
        <w:rPr>
          <w:sz w:val="24"/>
          <w:szCs w:val="24"/>
          <w:lang w:eastAsia="ru-RU"/>
        </w:rPr>
        <w:t>3.5. Якщо в період гарантійного терміну Покупцем буде виявлено, що поставлений Товар є неякісним, Постачальник зобов’язаний за власний рахунок замінити неякісний Товар на якісний на протязі  5-ти робочих днів  з дати отримання Постачальником відповідного акта (рекламації). Рекламаційний акт складається та підписується уповноваженими представниками Сторін.</w:t>
      </w:r>
    </w:p>
    <w:p>
      <w:pPr>
        <w:spacing w:after="0" w:line="240" w:lineRule="auto"/>
        <w:ind w:firstLine="540"/>
        <w:jc w:val="both"/>
        <w:rPr>
          <w:sz w:val="24"/>
          <w:szCs w:val="24"/>
          <w:lang w:eastAsia="ru-RU"/>
        </w:rPr>
      </w:pPr>
      <w:r>
        <w:rPr>
          <w:sz w:val="24"/>
          <w:szCs w:val="24"/>
          <w:lang w:eastAsia="ru-RU"/>
        </w:rPr>
        <w:t xml:space="preserve">Рекламаційні акти мають бути складені та направлені Постачальнику не пізніше останнього дня гарантійного терміну. </w:t>
      </w:r>
    </w:p>
    <w:p>
      <w:pPr>
        <w:spacing w:after="0" w:line="240" w:lineRule="auto"/>
        <w:ind w:firstLine="540"/>
        <w:jc w:val="both"/>
        <w:rPr>
          <w:sz w:val="24"/>
          <w:szCs w:val="24"/>
          <w:lang w:eastAsia="ru-RU"/>
        </w:rPr>
      </w:pPr>
      <w:r>
        <w:rPr>
          <w:sz w:val="24"/>
          <w:szCs w:val="24"/>
        </w:rPr>
        <w:t>3.6.</w:t>
      </w:r>
      <w:r>
        <w:rPr>
          <w:color w:val="000000"/>
          <w:sz w:val="24"/>
          <w:szCs w:val="24"/>
          <w:lang w:eastAsia="uk-UA" w:bidi="uk-UA"/>
        </w:rPr>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w:t>
      </w:r>
    </w:p>
    <w:p>
      <w:pPr>
        <w:pStyle w:val="41"/>
        <w:rPr>
          <w:rFonts w:ascii="Times New Roman" w:hAnsi="Times New Roman"/>
          <w:b/>
          <w:i w:val="0"/>
          <w:color w:val="auto"/>
          <w:sz w:val="24"/>
          <w:szCs w:val="24"/>
          <w:lang w:eastAsia="ru-RU"/>
        </w:rPr>
      </w:pPr>
      <w:r>
        <w:rPr>
          <w:rFonts w:ascii="Times New Roman" w:hAnsi="Times New Roman"/>
          <w:b/>
          <w:i w:val="0"/>
          <w:color w:val="auto"/>
          <w:sz w:val="24"/>
          <w:szCs w:val="24"/>
          <w:lang w:eastAsia="ru-RU"/>
        </w:rPr>
        <w:t xml:space="preserve">4. ЦІНА ТОВАРУ ТА ЗАГАЛЬНА СУМА ЗАКУПІВЛІ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lang w:eastAsia="ru-RU"/>
        </w:rPr>
      </w:pPr>
      <w:r>
        <w:rPr>
          <w:sz w:val="24"/>
          <w:szCs w:val="24"/>
          <w:lang w:eastAsia="ru-RU"/>
        </w:rPr>
        <w:t xml:space="preserve">4.1. Загальна сума закупівлі Товару по Договору становить </w:t>
      </w:r>
      <w:r>
        <w:rPr>
          <w:b/>
          <w:sz w:val="24"/>
          <w:szCs w:val="24"/>
          <w:lang w:eastAsia="ru-RU"/>
        </w:rPr>
        <w:t xml:space="preserve">________________________________________-гривень, </w:t>
      </w:r>
      <w:r>
        <w:rPr>
          <w:sz w:val="24"/>
          <w:szCs w:val="24"/>
          <w:lang w:eastAsia="ru-RU"/>
        </w:rPr>
        <w:t>у тому числі ПДВ в сумі</w:t>
      </w:r>
      <w:r>
        <w:rPr>
          <w:b/>
          <w:sz w:val="24"/>
          <w:szCs w:val="24"/>
          <w:lang w:eastAsia="ru-RU"/>
        </w:rPr>
        <w:t xml:space="preserve"> _________________________________________гривень</w:t>
      </w:r>
      <w:r>
        <w:rPr>
          <w:sz w:val="24"/>
          <w:szCs w:val="24"/>
          <w:lang w:eastAsia="ru-RU"/>
        </w:rPr>
        <w:t>, та складається з вартості усіх партій Товару, які закуповуються Покупцем за цим Договором.</w:t>
      </w:r>
    </w:p>
    <w:p>
      <w:pPr>
        <w:shd w:val="clear" w:color="auto" w:fill="FFFFFF"/>
        <w:tabs>
          <w:tab w:val="left" w:pos="0"/>
          <w:tab w:val="left" w:pos="180"/>
        </w:tabs>
        <w:spacing w:after="0" w:line="240" w:lineRule="auto"/>
        <w:ind w:right="-51" w:firstLine="540"/>
        <w:jc w:val="both"/>
        <w:rPr>
          <w:sz w:val="24"/>
          <w:szCs w:val="24"/>
          <w:lang w:eastAsia="ru-RU"/>
        </w:rPr>
      </w:pPr>
      <w:r>
        <w:rPr>
          <w:sz w:val="24"/>
          <w:szCs w:val="24"/>
          <w:lang w:eastAsia="ru-RU"/>
        </w:rPr>
        <w:t>4.2. Загальна сума цього Договору може бути зменшена за взаємною згодою Сторін, зокрема у разі зменшення обсягів закупівлі Товару.</w:t>
      </w:r>
    </w:p>
    <w:p>
      <w:pPr>
        <w:spacing w:after="0" w:line="240" w:lineRule="auto"/>
        <w:ind w:firstLine="540"/>
        <w:jc w:val="both"/>
        <w:rPr>
          <w:sz w:val="24"/>
          <w:szCs w:val="24"/>
          <w:lang w:eastAsia="ru-RU"/>
        </w:rPr>
      </w:pPr>
      <w:r>
        <w:rPr>
          <w:sz w:val="24"/>
          <w:szCs w:val="24"/>
          <w:lang w:eastAsia="ru-RU"/>
        </w:rPr>
        <w:t>4.</w:t>
      </w:r>
      <w:r>
        <w:rPr>
          <w:sz w:val="24"/>
          <w:szCs w:val="24"/>
          <w:lang w:val="ru-RU" w:eastAsia="ru-RU"/>
        </w:rPr>
        <w:t>3</w:t>
      </w:r>
      <w:r>
        <w:rPr>
          <w:sz w:val="24"/>
          <w:szCs w:val="24"/>
          <w:lang w:eastAsia="ru-RU"/>
        </w:rPr>
        <w:t>. Ціни на Товар встановлюються в національній валюті України.</w:t>
      </w:r>
    </w:p>
    <w:p>
      <w:pPr>
        <w:spacing w:after="0" w:line="240" w:lineRule="auto"/>
        <w:jc w:val="center"/>
        <w:rPr>
          <w:b/>
          <w:bCs/>
          <w:sz w:val="24"/>
          <w:szCs w:val="24"/>
          <w:lang w:eastAsia="ru-RU"/>
        </w:rPr>
      </w:pPr>
    </w:p>
    <w:p>
      <w:pPr>
        <w:spacing w:after="0" w:line="240" w:lineRule="auto"/>
        <w:jc w:val="center"/>
        <w:rPr>
          <w:b/>
          <w:bCs/>
          <w:sz w:val="24"/>
          <w:szCs w:val="24"/>
          <w:lang w:eastAsia="ru-RU"/>
        </w:rPr>
      </w:pPr>
      <w:r>
        <w:rPr>
          <w:b/>
          <w:bCs/>
          <w:sz w:val="24"/>
          <w:szCs w:val="24"/>
          <w:lang w:eastAsia="ru-RU"/>
        </w:rPr>
        <w:t>5. ПОРЯДОК ЗДІЙСНЕННЯ ОПЛАТИ</w:t>
      </w:r>
    </w:p>
    <w:p>
      <w:pPr>
        <w:widowControl w:val="0"/>
        <w:autoSpaceDE w:val="0"/>
        <w:autoSpaceDN w:val="0"/>
        <w:spacing w:after="0" w:line="240" w:lineRule="auto"/>
        <w:ind w:firstLine="567"/>
        <w:jc w:val="both"/>
        <w:rPr>
          <w:sz w:val="24"/>
          <w:szCs w:val="24"/>
          <w:lang w:eastAsia="ru-RU"/>
        </w:rPr>
      </w:pPr>
      <w:r>
        <w:rPr>
          <w:sz w:val="24"/>
          <w:szCs w:val="24"/>
          <w:lang w:eastAsia="ru-RU"/>
        </w:rPr>
        <w:t>5.1. Оплата за Товар здійснюється у безготівковому порядку шляхом перерахування Покупцем відповідної суми коштів на поточний рахунок Постачальника.</w:t>
      </w:r>
    </w:p>
    <w:p>
      <w:pPr>
        <w:spacing w:after="0" w:line="240" w:lineRule="auto"/>
        <w:ind w:firstLine="540"/>
        <w:jc w:val="both"/>
        <w:rPr>
          <w:sz w:val="24"/>
          <w:szCs w:val="24"/>
          <w:lang w:eastAsia="ru-RU"/>
        </w:rPr>
      </w:pPr>
      <w:r>
        <w:rPr>
          <w:sz w:val="24"/>
          <w:szCs w:val="24"/>
          <w:lang w:eastAsia="ru-RU"/>
        </w:rPr>
        <w:t>5.2. Розрахунки за  Товар по Договору здійснюються після прийняття   Товару у власність Покупця, що підтверджується видатковою накладною, в якій зазначено номенклатуру (асортимент), кількість і ціна Товару, який перейшов у власність Покупця, та загальна сума для оплати Товару.</w:t>
      </w:r>
    </w:p>
    <w:p>
      <w:pPr>
        <w:spacing w:after="0" w:line="240" w:lineRule="auto"/>
        <w:ind w:firstLine="540"/>
        <w:jc w:val="both"/>
        <w:rPr>
          <w:sz w:val="24"/>
          <w:szCs w:val="24"/>
          <w:lang w:eastAsia="ru-RU"/>
        </w:rPr>
      </w:pPr>
      <w:r>
        <w:rPr>
          <w:sz w:val="24"/>
          <w:szCs w:val="24"/>
          <w:lang w:eastAsia="ru-RU"/>
        </w:rPr>
        <w:t>5.3. Для оплати поставленого Товару Постачальник надає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видаткову накладну, а також документи, що стосуються якості Товару, які передбачені цим Договором.</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 xml:space="preserve">5.4. Розрахунки за поставлений Товар здійснюються протягом </w:t>
      </w:r>
      <w:r>
        <w:rPr>
          <w:sz w:val="24"/>
          <w:szCs w:val="24"/>
          <w:lang w:val="ru-RU" w:eastAsia="ru-RU"/>
        </w:rPr>
        <w:t>10</w:t>
      </w:r>
      <w:r>
        <w:rPr>
          <w:sz w:val="24"/>
          <w:szCs w:val="24"/>
          <w:lang w:eastAsia="ru-RU"/>
        </w:rPr>
        <w:t xml:space="preserve"> робочих днів з дати поставки Товару, яка визначається датою підписання видаткової накладної на Товар, при умові отримання від Постачальника документів, передбачених п.5.3. Договору, та документів, що стосуються Товару, які передбачені цим Договором.</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5.5. Датою виникнення податкових зобов</w:t>
      </w:r>
      <w:r>
        <w:rPr>
          <w:sz w:val="24"/>
          <w:szCs w:val="24"/>
          <w:lang w:val="ru-RU" w:eastAsia="ru-RU"/>
        </w:rPr>
        <w:t>’</w:t>
      </w:r>
      <w:r>
        <w:rPr>
          <w:sz w:val="24"/>
          <w:szCs w:val="24"/>
          <w:lang w:eastAsia="ru-RU"/>
        </w:rPr>
        <w:t>язань</w:t>
      </w:r>
      <w:r>
        <w:rPr>
          <w:sz w:val="24"/>
          <w:szCs w:val="24"/>
          <w:lang w:val="ru-RU" w:eastAsia="ru-RU"/>
        </w:rPr>
        <w:t xml:space="preserve"> є дата зарахування бюджетних коштів на банківський рахунок Постачальника</w:t>
      </w:r>
      <w:r>
        <w:rPr>
          <w:sz w:val="24"/>
          <w:szCs w:val="24"/>
          <w:lang w:eastAsia="ru-RU"/>
        </w:rPr>
        <w:t xml:space="preserve"> (ст.187.7 ПКУ).</w:t>
      </w:r>
    </w:p>
    <w:p>
      <w:pPr>
        <w:widowControl w:val="0"/>
        <w:autoSpaceDE w:val="0"/>
        <w:autoSpaceDN w:val="0"/>
        <w:spacing w:line="240" w:lineRule="auto"/>
        <w:ind w:firstLine="567"/>
        <w:contextualSpacing/>
        <w:jc w:val="both"/>
        <w:rPr>
          <w:sz w:val="24"/>
          <w:szCs w:val="24"/>
          <w:lang w:eastAsia="ru-RU"/>
        </w:rPr>
      </w:pPr>
    </w:p>
    <w:p>
      <w:pPr>
        <w:spacing w:after="0" w:line="240" w:lineRule="auto"/>
        <w:jc w:val="center"/>
        <w:rPr>
          <w:b/>
          <w:bCs/>
          <w:sz w:val="24"/>
          <w:szCs w:val="24"/>
          <w:lang w:eastAsia="ru-RU"/>
        </w:rPr>
      </w:pPr>
      <w:r>
        <w:rPr>
          <w:b/>
          <w:bCs/>
          <w:sz w:val="24"/>
          <w:szCs w:val="24"/>
          <w:lang w:eastAsia="ru-RU"/>
        </w:rPr>
        <w:t>6. ПРАВА ТА ОБОВ’ЯЗКИ СТОРІН</w:t>
      </w:r>
    </w:p>
    <w:p>
      <w:pPr>
        <w:spacing w:after="0" w:line="240" w:lineRule="auto"/>
        <w:ind w:firstLine="540"/>
        <w:jc w:val="both"/>
        <w:rPr>
          <w:sz w:val="24"/>
          <w:szCs w:val="24"/>
          <w:lang w:eastAsia="ru-RU"/>
        </w:rPr>
      </w:pPr>
      <w:r>
        <w:rPr>
          <w:sz w:val="24"/>
          <w:szCs w:val="24"/>
          <w:lang w:eastAsia="ru-RU"/>
        </w:rPr>
        <w:t xml:space="preserve">6.1. Покупець зобов’язаний: </w:t>
      </w:r>
    </w:p>
    <w:p>
      <w:pPr>
        <w:spacing w:after="0" w:line="240" w:lineRule="auto"/>
        <w:ind w:firstLine="540"/>
        <w:jc w:val="both"/>
        <w:rPr>
          <w:sz w:val="24"/>
          <w:szCs w:val="24"/>
          <w:lang w:eastAsia="ru-RU"/>
        </w:rPr>
      </w:pPr>
      <w:r>
        <w:rPr>
          <w:sz w:val="24"/>
          <w:szCs w:val="24"/>
          <w:lang w:eastAsia="ru-RU"/>
        </w:rPr>
        <w:t xml:space="preserve">6.1.1. своєчасно та в повному обсязі сплачувати за поставлений Товар; </w:t>
      </w:r>
    </w:p>
    <w:p>
      <w:pPr>
        <w:spacing w:after="0" w:line="240" w:lineRule="auto"/>
        <w:ind w:firstLine="540"/>
        <w:jc w:val="both"/>
        <w:rPr>
          <w:sz w:val="24"/>
          <w:szCs w:val="24"/>
          <w:lang w:eastAsia="ru-RU"/>
        </w:rPr>
      </w:pPr>
      <w:r>
        <w:rPr>
          <w:sz w:val="24"/>
          <w:szCs w:val="24"/>
          <w:lang w:eastAsia="ru-RU"/>
        </w:rPr>
        <w:t>6.1.2. прийняти поставлений Товар згідно з видатковою накладною при наявності документів, що підтверджують якості Товару, які передбачені цим Договором.</w:t>
      </w:r>
    </w:p>
    <w:p>
      <w:pPr>
        <w:spacing w:after="0" w:line="240" w:lineRule="auto"/>
        <w:ind w:firstLine="540"/>
        <w:jc w:val="both"/>
        <w:rPr>
          <w:sz w:val="24"/>
          <w:szCs w:val="24"/>
          <w:lang w:eastAsia="ru-RU"/>
        </w:rPr>
      </w:pPr>
      <w:r>
        <w:rPr>
          <w:sz w:val="24"/>
          <w:szCs w:val="24"/>
          <w:lang w:eastAsia="ru-RU"/>
        </w:rPr>
        <w:t xml:space="preserve">6.2. Покупець має право: </w:t>
      </w:r>
    </w:p>
    <w:p>
      <w:pPr>
        <w:spacing w:after="0" w:line="240" w:lineRule="auto"/>
        <w:ind w:firstLine="540"/>
        <w:jc w:val="both"/>
        <w:rPr>
          <w:sz w:val="24"/>
          <w:szCs w:val="24"/>
          <w:lang w:eastAsia="ru-RU"/>
        </w:rPr>
      </w:pPr>
      <w:r>
        <w:rPr>
          <w:sz w:val="24"/>
          <w:szCs w:val="24"/>
          <w:lang w:eastAsia="ru-RU"/>
        </w:rPr>
        <w:t xml:space="preserve">6.2.1. достроково розірвати цей Договір у разі невиконання зобов’язань Постачальником, повідомивши про це його не пізніш ніж за 10 календарних днів до дати розірвання Договору; </w:t>
      </w:r>
    </w:p>
    <w:p>
      <w:pPr>
        <w:spacing w:after="0" w:line="240" w:lineRule="auto"/>
        <w:ind w:firstLine="540"/>
        <w:jc w:val="both"/>
        <w:rPr>
          <w:sz w:val="24"/>
          <w:szCs w:val="24"/>
          <w:lang w:eastAsia="ru-RU"/>
        </w:rPr>
      </w:pPr>
      <w:r>
        <w:rPr>
          <w:sz w:val="24"/>
          <w:szCs w:val="24"/>
          <w:lang w:eastAsia="ru-RU"/>
        </w:rPr>
        <w:t xml:space="preserve">6.2.2. контролювати поставку Товару у строки, встановлені цим Договором; </w:t>
      </w:r>
    </w:p>
    <w:p>
      <w:pPr>
        <w:spacing w:after="0" w:line="240" w:lineRule="auto"/>
        <w:ind w:firstLine="540"/>
        <w:jc w:val="both"/>
        <w:rPr>
          <w:sz w:val="24"/>
          <w:szCs w:val="24"/>
          <w:lang w:eastAsia="ru-RU"/>
        </w:rPr>
      </w:pPr>
      <w:r>
        <w:rPr>
          <w:sz w:val="24"/>
          <w:szCs w:val="24"/>
          <w:lang w:eastAsia="ru-RU"/>
        </w:rPr>
        <w:t xml:space="preserve">6.2.3. зменшити обсяг закупівлі Товару та загальну суму закупівлі за цим Договором в залежності від реального фінансування видатків. У такому разі Сторони вносять відповідні зміни до цього Договору; </w:t>
      </w:r>
    </w:p>
    <w:p>
      <w:pPr>
        <w:spacing w:after="0" w:line="240" w:lineRule="auto"/>
        <w:ind w:firstLine="540"/>
        <w:jc w:val="both"/>
        <w:rPr>
          <w:sz w:val="24"/>
          <w:szCs w:val="24"/>
          <w:lang w:eastAsia="ru-RU"/>
        </w:rPr>
      </w:pPr>
      <w:r>
        <w:rPr>
          <w:sz w:val="24"/>
          <w:szCs w:val="24"/>
          <w:lang w:eastAsia="ru-RU"/>
        </w:rPr>
        <w:t xml:space="preserve">6.2.4. повернути рахунок-фактуру Постачальнику без здійснення оплати в разі неналежного оформлення документів, зазначених у пункті 5.3. розділу 5 цього Договору (відсутність печатки, підписів тощо). </w:t>
      </w:r>
    </w:p>
    <w:p>
      <w:pPr>
        <w:spacing w:after="0" w:line="240" w:lineRule="auto"/>
        <w:ind w:firstLine="540"/>
        <w:jc w:val="both"/>
        <w:rPr>
          <w:sz w:val="24"/>
          <w:szCs w:val="24"/>
          <w:lang w:eastAsia="ru-RU"/>
        </w:rPr>
      </w:pPr>
      <w:r>
        <w:rPr>
          <w:sz w:val="24"/>
          <w:szCs w:val="24"/>
          <w:lang w:eastAsia="ru-RU"/>
        </w:rPr>
        <w:t xml:space="preserve">6.3. Постачальник зобов’язаний: </w:t>
      </w:r>
    </w:p>
    <w:p>
      <w:pPr>
        <w:spacing w:after="0" w:line="240" w:lineRule="auto"/>
        <w:ind w:firstLine="540"/>
        <w:jc w:val="both"/>
        <w:rPr>
          <w:sz w:val="24"/>
          <w:szCs w:val="24"/>
          <w:lang w:eastAsia="ru-RU"/>
        </w:rPr>
      </w:pPr>
      <w:r>
        <w:rPr>
          <w:sz w:val="24"/>
          <w:szCs w:val="24"/>
          <w:lang w:eastAsia="ru-RU"/>
        </w:rPr>
        <w:t xml:space="preserve">6.3.1. забезпечити поставку  Товару у строки, встановлені цим Договором; </w:t>
      </w:r>
    </w:p>
    <w:p>
      <w:pPr>
        <w:spacing w:after="0" w:line="240" w:lineRule="auto"/>
        <w:ind w:firstLine="540"/>
        <w:jc w:val="both"/>
        <w:rPr>
          <w:sz w:val="24"/>
          <w:szCs w:val="24"/>
          <w:lang w:eastAsia="ru-RU"/>
        </w:rPr>
      </w:pPr>
      <w:r>
        <w:rPr>
          <w:sz w:val="24"/>
          <w:szCs w:val="24"/>
          <w:lang w:eastAsia="ru-RU"/>
        </w:rPr>
        <w:t xml:space="preserve">6.3.2. забезпечити поставку Товару, якість якого відповідає умовам, установленим розділом 3 цього Договору. </w:t>
      </w:r>
    </w:p>
    <w:p>
      <w:pPr>
        <w:spacing w:after="0" w:line="240" w:lineRule="auto"/>
        <w:ind w:firstLine="540"/>
        <w:jc w:val="both"/>
        <w:rPr>
          <w:sz w:val="24"/>
          <w:szCs w:val="24"/>
          <w:lang w:eastAsia="ru-RU"/>
        </w:rPr>
      </w:pPr>
      <w:r>
        <w:rPr>
          <w:sz w:val="24"/>
          <w:szCs w:val="24"/>
          <w:lang w:eastAsia="ru-RU"/>
        </w:rPr>
        <w:t xml:space="preserve">6.4. Постачальник має право: </w:t>
      </w:r>
    </w:p>
    <w:p>
      <w:pPr>
        <w:spacing w:after="0" w:line="240" w:lineRule="auto"/>
        <w:ind w:firstLine="540"/>
        <w:jc w:val="both"/>
        <w:rPr>
          <w:sz w:val="24"/>
          <w:szCs w:val="24"/>
          <w:lang w:eastAsia="ru-RU"/>
        </w:rPr>
      </w:pPr>
      <w:r>
        <w:rPr>
          <w:sz w:val="24"/>
          <w:szCs w:val="24"/>
          <w:lang w:eastAsia="ru-RU"/>
        </w:rPr>
        <w:t xml:space="preserve">6.4.1. своєчасно та в повному обсязі отримувати плату за  якісний Товар, поставлений з дотриманням умов цього Договору; </w:t>
      </w:r>
    </w:p>
    <w:p>
      <w:pPr>
        <w:spacing w:after="0" w:line="240" w:lineRule="auto"/>
        <w:ind w:firstLine="540"/>
        <w:jc w:val="both"/>
        <w:rPr>
          <w:sz w:val="24"/>
          <w:szCs w:val="24"/>
          <w:lang w:eastAsia="ru-RU"/>
        </w:rPr>
      </w:pPr>
      <w:r>
        <w:rPr>
          <w:sz w:val="24"/>
          <w:szCs w:val="24"/>
          <w:lang w:eastAsia="ru-RU"/>
        </w:rPr>
        <w:t xml:space="preserve">6.4.2. на дострокову поставку Товару за письмовим погодженням Покупця; </w:t>
      </w:r>
    </w:p>
    <w:p>
      <w:pPr>
        <w:spacing w:after="0" w:line="240" w:lineRule="auto"/>
        <w:ind w:firstLine="540"/>
        <w:jc w:val="both"/>
        <w:rPr>
          <w:sz w:val="24"/>
          <w:szCs w:val="24"/>
          <w:lang w:eastAsia="ru-RU"/>
        </w:rPr>
      </w:pPr>
      <w:r>
        <w:rPr>
          <w:sz w:val="24"/>
          <w:szCs w:val="24"/>
          <w:lang w:eastAsia="ru-RU"/>
        </w:rPr>
        <w:t xml:space="preserve">6.4.3. достроково розірвати цей Договір у разі невиконання зобов’язань Покупцем, повідомивши про це Покупця не пізніше ніж за 10 календарних днів до дати розірвання Договору. </w:t>
      </w:r>
    </w:p>
    <w:p>
      <w:pPr>
        <w:spacing w:after="0" w:line="240" w:lineRule="auto"/>
        <w:jc w:val="center"/>
        <w:rPr>
          <w:b/>
          <w:bCs/>
          <w:sz w:val="24"/>
          <w:szCs w:val="24"/>
          <w:lang w:eastAsia="ru-RU"/>
        </w:rPr>
      </w:pPr>
      <w:r>
        <w:rPr>
          <w:b/>
          <w:bCs/>
          <w:sz w:val="24"/>
          <w:szCs w:val="24"/>
          <w:lang w:eastAsia="ru-RU"/>
        </w:rPr>
        <w:t>7. ВІДПОВІДАЛЬНІСТЬ СТОРІН</w:t>
      </w:r>
    </w:p>
    <w:p>
      <w:pPr>
        <w:spacing w:after="0" w:line="240" w:lineRule="auto"/>
        <w:ind w:firstLine="540"/>
        <w:jc w:val="both"/>
        <w:rPr>
          <w:sz w:val="24"/>
          <w:szCs w:val="24"/>
          <w:lang w:eastAsia="ru-RU"/>
        </w:rPr>
      </w:pPr>
      <w:r>
        <w:rPr>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spacing w:after="0" w:line="240" w:lineRule="auto"/>
        <w:ind w:firstLine="540"/>
        <w:jc w:val="both"/>
        <w:rPr>
          <w:sz w:val="24"/>
          <w:szCs w:val="24"/>
          <w:lang w:eastAsia="ru-RU"/>
        </w:rPr>
      </w:pPr>
      <w:r>
        <w:rPr>
          <w:sz w:val="24"/>
          <w:szCs w:val="24"/>
          <w:lang w:eastAsia="ru-RU"/>
        </w:rPr>
        <w:t>7.2. У разі невиконання або несвоєчасного виконання зобов’язань при закупівлі Товару за державні кошти Постачальник за даним Договором несе наступну відповідальність:</w:t>
      </w:r>
    </w:p>
    <w:p>
      <w:pPr>
        <w:tabs>
          <w:tab w:val="left" w:pos="1560"/>
        </w:tabs>
        <w:spacing w:after="0" w:line="240" w:lineRule="auto"/>
        <w:ind w:firstLine="540"/>
        <w:jc w:val="both"/>
        <w:rPr>
          <w:sz w:val="24"/>
          <w:szCs w:val="24"/>
          <w:lang w:eastAsia="ru-RU"/>
        </w:rPr>
      </w:pPr>
      <w:r>
        <w:rPr>
          <w:sz w:val="24"/>
          <w:szCs w:val="24"/>
          <w:lang w:eastAsia="ru-RU"/>
        </w:rPr>
        <w:t>7.2.1.за несвоєчасну передачу Товару або передачу Товару не в повному обсязі, заявленому Покупцем, Постачальник сплачує Покупцю штраф у розмірі 2 % вартості Товару, відносно якого допущено прострочення передачі, а за прострочення понад 30 днів додатково стягується штраф у розмірі 7 % вартості непереданого (несвоєчасно переданого) Товару.</w:t>
      </w:r>
    </w:p>
    <w:p>
      <w:pPr>
        <w:spacing w:after="0" w:line="240" w:lineRule="auto"/>
        <w:ind w:firstLine="540"/>
        <w:jc w:val="both"/>
        <w:rPr>
          <w:sz w:val="24"/>
          <w:szCs w:val="24"/>
          <w:lang w:eastAsia="ru-RU"/>
        </w:rPr>
      </w:pPr>
      <w:r>
        <w:rPr>
          <w:sz w:val="24"/>
          <w:szCs w:val="24"/>
          <w:lang w:eastAsia="ru-RU"/>
        </w:rPr>
        <w:t xml:space="preserve">7.2.2. за поставку неякісних одиниць Товару Постачальник сплачує штраф в розмірі 20% вартості </w:t>
      </w:r>
      <w:bookmarkStart w:id="4" w:name="OLE_LINK22"/>
      <w:bookmarkStart w:id="5" w:name="OLE_LINK20"/>
      <w:bookmarkStart w:id="6" w:name="OLE_LINK21"/>
      <w:r>
        <w:rPr>
          <w:sz w:val="24"/>
          <w:szCs w:val="24"/>
          <w:lang w:eastAsia="ru-RU"/>
        </w:rPr>
        <w:t xml:space="preserve">неякісних одиниць </w:t>
      </w:r>
      <w:bookmarkEnd w:id="4"/>
      <w:bookmarkEnd w:id="5"/>
      <w:bookmarkEnd w:id="6"/>
      <w:r>
        <w:rPr>
          <w:sz w:val="24"/>
          <w:szCs w:val="24"/>
          <w:lang w:eastAsia="ru-RU"/>
        </w:rPr>
        <w:t>Товару. Сплата штрафу не звільняє Постачальника від обов’язку замінити Товар на якісний. Витрати, пов’язані з поверненням або заміною неякісного Товару, несе Постачальник. У випадку належного виконання Постачальником зобов’язань по заміні неякісних одиниць Товару штрафні санкції, передбачені цим Договором та/або законодавством України, до Постачальника не застосовуються.</w:t>
      </w:r>
    </w:p>
    <w:p>
      <w:pPr>
        <w:spacing w:after="0" w:line="240" w:lineRule="auto"/>
        <w:ind w:firstLine="540"/>
        <w:jc w:val="both"/>
        <w:rPr>
          <w:sz w:val="24"/>
          <w:szCs w:val="24"/>
          <w:lang w:eastAsia="ru-RU"/>
        </w:rPr>
      </w:pPr>
      <w:r>
        <w:rPr>
          <w:sz w:val="24"/>
          <w:szCs w:val="24"/>
          <w:lang w:eastAsia="ru-RU"/>
        </w:rPr>
        <w:t>7.3. У разі порушення Постачальником своїх зобов’язань по Договору, у тому числі при несвоєчасному виконані заявок Покупця, ухиленні від прийняття заявок Покупця, відмові або ухиленні від підтвердження прийняття заявки Покупця протягом трьох днів з дати подачі Покупцем заявки на поставку Товару, Покупець має право в односторонньому порядку достроково розірвати Договір з визначенням відповідної дати розірвання Договору, надіславши Постачальнику відповідне письмове повідомлення про розірвання договору за 10 (десять) календарних днів до визначеної дати одностороннього розірвання Договору.</w:t>
      </w:r>
    </w:p>
    <w:p>
      <w:pPr>
        <w:spacing w:after="0" w:line="240" w:lineRule="auto"/>
        <w:ind w:firstLine="540"/>
        <w:jc w:val="both"/>
        <w:rPr>
          <w:sz w:val="24"/>
          <w:szCs w:val="24"/>
          <w:lang w:eastAsia="ru-RU"/>
        </w:rPr>
      </w:pPr>
      <w:r>
        <w:rPr>
          <w:sz w:val="24"/>
          <w:szCs w:val="24"/>
          <w:lang w:eastAsia="ru-RU"/>
        </w:rPr>
        <w:t>7.4. Покупець за даним Договором несе наступну відповідальність:</w:t>
      </w:r>
    </w:p>
    <w:p>
      <w:pPr>
        <w:spacing w:after="0" w:line="240" w:lineRule="auto"/>
        <w:ind w:firstLine="540"/>
        <w:jc w:val="both"/>
        <w:rPr>
          <w:sz w:val="24"/>
          <w:szCs w:val="24"/>
          <w:lang w:eastAsia="ru-RU"/>
        </w:rPr>
      </w:pPr>
      <w:r>
        <w:rPr>
          <w:sz w:val="24"/>
          <w:szCs w:val="24"/>
          <w:lang w:eastAsia="ru-RU"/>
        </w:rPr>
        <w:t xml:space="preserve">- у випадку затримки платежу за Товар Покупець сплачує Постачальнику пеню в розмірі облікової ставки НБУ, що діяла в період, за який нараховується пеня, від суми заборгованості за кожний день прострочення. </w:t>
      </w:r>
      <w:r>
        <w:rPr>
          <w:sz w:val="24"/>
          <w:szCs w:val="24"/>
        </w:rPr>
        <w:t xml:space="preserve"> Покупець звільняється від сплати пені за період затримки бюджетного фінансування у разі закупівлі Товару за бюджетні кошти.</w:t>
      </w:r>
    </w:p>
    <w:p>
      <w:pPr>
        <w:spacing w:after="0" w:line="240" w:lineRule="auto"/>
        <w:ind w:firstLine="540"/>
        <w:jc w:val="both"/>
        <w:rPr>
          <w:sz w:val="24"/>
          <w:szCs w:val="24"/>
          <w:lang w:eastAsia="ru-RU"/>
        </w:rPr>
      </w:pPr>
      <w:r>
        <w:rPr>
          <w:sz w:val="24"/>
          <w:szCs w:val="24"/>
          <w:lang w:eastAsia="ru-RU"/>
        </w:rPr>
        <w:t>7.5. Сплата пені не звільняє Сторони від виконання прийнятих на себе зобов’язань по Договору.</w:t>
      </w:r>
    </w:p>
    <w:p>
      <w:pPr>
        <w:spacing w:after="0" w:line="240" w:lineRule="auto"/>
        <w:ind w:firstLine="540"/>
        <w:jc w:val="both"/>
        <w:rPr>
          <w:sz w:val="24"/>
          <w:szCs w:val="24"/>
          <w:lang w:eastAsia="ru-RU"/>
        </w:rPr>
      </w:pPr>
      <w:r>
        <w:rPr>
          <w:sz w:val="24"/>
          <w:szCs w:val="24"/>
          <w:lang w:eastAsia="ru-RU"/>
        </w:rPr>
        <w:t xml:space="preserve">7.6. </w:t>
      </w:r>
      <w:r>
        <w:rPr>
          <w:sz w:val="24"/>
          <w:szCs w:val="24"/>
          <w:lang w:eastAsia="zh-CN"/>
        </w:rPr>
        <w:t>При порушенні</w:t>
      </w:r>
      <w:r>
        <w:rPr>
          <w:sz w:val="24"/>
          <w:szCs w:val="24"/>
          <w:lang w:eastAsia="ru-RU"/>
        </w:rPr>
        <w:t xml:space="preserve"> Постачальником</w:t>
      </w:r>
      <w:r>
        <w:rPr>
          <w:sz w:val="24"/>
          <w:szCs w:val="24"/>
          <w:lang w:eastAsia="zh-CN"/>
        </w:rPr>
        <w:t xml:space="preserve"> своїх договірних зобов’язань </w:t>
      </w:r>
      <w:r>
        <w:rPr>
          <w:sz w:val="24"/>
          <w:szCs w:val="24"/>
          <w:lang w:eastAsia="ru-RU"/>
        </w:rPr>
        <w:t>Покупець</w:t>
      </w:r>
      <w:r>
        <w:rPr>
          <w:sz w:val="24"/>
          <w:szCs w:val="24"/>
          <w:lang w:eastAsia="zh-CN"/>
        </w:rPr>
        <w:t xml:space="preserve">, у разі якщо він потерпає або потерпів від такого правопорушення, має право застосувати до </w:t>
      </w:r>
      <w:r>
        <w:rPr>
          <w:sz w:val="24"/>
          <w:szCs w:val="24"/>
          <w:lang w:eastAsia="ru-RU"/>
        </w:rPr>
        <w:t xml:space="preserve">Постачальника </w:t>
      </w:r>
      <w:r>
        <w:rPr>
          <w:sz w:val="24"/>
          <w:szCs w:val="24"/>
          <w:lang w:eastAsia="zh-CN"/>
        </w:rPr>
        <w:t xml:space="preserve">оперативно-господарські санкції, з письмовим повідомленням про це </w:t>
      </w:r>
      <w:r>
        <w:rPr>
          <w:sz w:val="24"/>
          <w:szCs w:val="24"/>
          <w:lang w:eastAsia="ru-RU"/>
        </w:rPr>
        <w:t>Постачальника</w:t>
      </w:r>
      <w:r>
        <w:rPr>
          <w:sz w:val="24"/>
          <w:szCs w:val="24"/>
          <w:lang w:eastAsia="zh-CN"/>
        </w:rPr>
        <w:t>, у тому числі:</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7.6.1</w:t>
      </w:r>
      <w:r>
        <w:rPr>
          <w:sz w:val="24"/>
          <w:szCs w:val="24"/>
          <w:lang w:eastAsia="zh-CN"/>
        </w:rPr>
        <w:t xml:space="preserve"> одностороння відмова </w:t>
      </w:r>
      <w:r>
        <w:rPr>
          <w:sz w:val="24"/>
          <w:szCs w:val="24"/>
          <w:lang w:eastAsia="ru-RU"/>
        </w:rPr>
        <w:t>Покупця</w:t>
      </w:r>
      <w:r>
        <w:rPr>
          <w:sz w:val="24"/>
          <w:szCs w:val="24"/>
          <w:lang w:eastAsia="zh-CN"/>
        </w:rPr>
        <w:t xml:space="preserve"> від виконання своїх договірних зобов'язань, із звільненням від відповідальності за це;</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 xml:space="preserve">7.6.2 </w:t>
      </w:r>
      <w:r>
        <w:rPr>
          <w:sz w:val="24"/>
          <w:szCs w:val="24"/>
          <w:lang w:eastAsia="zh-CN"/>
        </w:rPr>
        <w:t>відмова від оплати за зобов'язанням, яке виконано</w:t>
      </w:r>
      <w:r>
        <w:rPr>
          <w:sz w:val="24"/>
          <w:szCs w:val="24"/>
          <w:lang w:eastAsia="ru-RU"/>
        </w:rPr>
        <w:t xml:space="preserve"> Постачальником</w:t>
      </w:r>
      <w:r>
        <w:rPr>
          <w:sz w:val="24"/>
          <w:szCs w:val="24"/>
          <w:lang w:eastAsia="zh-CN"/>
        </w:rPr>
        <w:t xml:space="preserve"> неналежним чином, зміна порядку оплати;</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7.6.3</w:t>
      </w:r>
      <w:r>
        <w:rPr>
          <w:sz w:val="24"/>
          <w:szCs w:val="24"/>
          <w:lang w:eastAsia="zh-CN"/>
        </w:rPr>
        <w:t xml:space="preserve"> відмова в майбутньому від укладення господарських договорів (за будь-яким предметом закупівлі) із </w:t>
      </w:r>
      <w:r>
        <w:rPr>
          <w:sz w:val="24"/>
          <w:szCs w:val="24"/>
          <w:lang w:eastAsia="ru-RU"/>
        </w:rPr>
        <w:t>Постачальником</w:t>
      </w:r>
      <w:r>
        <w:rPr>
          <w:sz w:val="24"/>
          <w:szCs w:val="24"/>
          <w:lang w:eastAsia="zh-CN"/>
        </w:rPr>
        <w:t>, який порушив свої зобов'язання за цим Договором і не усунув у встановлений Договором або</w:t>
      </w:r>
      <w:r>
        <w:rPr>
          <w:sz w:val="24"/>
          <w:szCs w:val="24"/>
          <w:lang w:eastAsia="ru-RU"/>
        </w:rPr>
        <w:t xml:space="preserve"> Покупцем </w:t>
      </w:r>
      <w:r>
        <w:rPr>
          <w:sz w:val="24"/>
          <w:szCs w:val="24"/>
          <w:lang w:eastAsia="zh-CN"/>
        </w:rPr>
        <w:t xml:space="preserve">строк виявлені порушення та недоліки. Відмова в майбутньому від укладення господарських договорів </w:t>
      </w:r>
      <w:r>
        <w:rPr>
          <w:sz w:val="24"/>
          <w:szCs w:val="24"/>
          <w:lang w:eastAsia="ru-RU"/>
        </w:rPr>
        <w:t>Продавцем</w:t>
      </w:r>
      <w:r>
        <w:rPr>
          <w:sz w:val="24"/>
          <w:szCs w:val="24"/>
          <w:lang w:eastAsia="zh-CN"/>
        </w:rPr>
        <w:t xml:space="preserve"> здійснюється на стадії укладення господарського договору, а при застосуванні процедур публічних закупівель або допорогових закупівель - шляхом відхилення його тендерної пропозиції. </w:t>
      </w:r>
    </w:p>
    <w:p>
      <w:pPr>
        <w:spacing w:after="0" w:line="240" w:lineRule="auto"/>
        <w:jc w:val="center"/>
        <w:rPr>
          <w:b/>
          <w:sz w:val="24"/>
          <w:szCs w:val="24"/>
          <w:lang w:eastAsia="ru-RU"/>
        </w:rPr>
      </w:pPr>
      <w:r>
        <w:rPr>
          <w:b/>
          <w:sz w:val="24"/>
          <w:szCs w:val="24"/>
          <w:lang w:eastAsia="ru-RU"/>
        </w:rPr>
        <w:t>8. ФОРС-МАЖОРНІ ОБСТАВИНИ (ОБСТАВИНИ НЕПЕРЕБОРНОЇ СИЛИ)</w:t>
      </w:r>
    </w:p>
    <w:p>
      <w:pPr>
        <w:spacing w:after="0" w:line="240" w:lineRule="auto"/>
        <w:ind w:firstLine="540"/>
        <w:jc w:val="both"/>
        <w:rPr>
          <w:sz w:val="24"/>
          <w:szCs w:val="24"/>
          <w:lang w:eastAsia="ru-RU"/>
        </w:rPr>
      </w:pPr>
      <w:r>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pPr>
        <w:spacing w:after="0" w:line="240" w:lineRule="auto"/>
        <w:ind w:firstLine="540"/>
        <w:jc w:val="both"/>
        <w:rPr>
          <w:sz w:val="24"/>
          <w:szCs w:val="24"/>
          <w:lang w:eastAsia="ru-RU"/>
        </w:rPr>
      </w:pPr>
      <w:r>
        <w:rPr>
          <w:sz w:val="24"/>
          <w:szCs w:val="24"/>
          <w:lang w:eastAsia="ru-RU"/>
        </w:rPr>
        <w:t>8.2.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pPr>
        <w:spacing w:after="0" w:line="240" w:lineRule="auto"/>
        <w:ind w:firstLine="540"/>
        <w:jc w:val="both"/>
        <w:rPr>
          <w:sz w:val="24"/>
          <w:szCs w:val="24"/>
          <w:lang w:eastAsia="ru-RU"/>
        </w:rPr>
      </w:pPr>
      <w:r>
        <w:rPr>
          <w:sz w:val="24"/>
          <w:szCs w:val="24"/>
          <w:lang w:eastAsia="ru-RU"/>
        </w:rPr>
        <w:t>Дія таких обставин може бути викликана:</w:t>
      </w:r>
    </w:p>
    <w:p>
      <w:pPr>
        <w:pStyle w:val="24"/>
        <w:numPr>
          <w:ilvl w:val="0"/>
          <w:numId w:val="14"/>
        </w:numPr>
        <w:spacing w:after="0" w:line="240" w:lineRule="auto"/>
        <w:jc w:val="both"/>
        <w:rPr>
          <w:sz w:val="24"/>
          <w:szCs w:val="24"/>
          <w:lang w:eastAsia="ru-RU"/>
        </w:rPr>
      </w:pPr>
      <w:r>
        <w:rPr>
          <w:sz w:val="24"/>
          <w:szCs w:val="24"/>
          <w:lang w:eastAsia="ru-RU"/>
        </w:rPr>
        <w:t>винятковими погодними умовами і стихійними лихами (наприклад, але не виключно – ураган, буревій, сильний шторм, циклон, повінь, нагромадження снігу, ожеледь, град, заморозки, землетрус, пожежа, просідання і зсув ґрунту, епідемія тощо);</w:t>
      </w:r>
    </w:p>
    <w:p>
      <w:pPr>
        <w:spacing w:after="0" w:line="240" w:lineRule="auto"/>
        <w:ind w:firstLine="540"/>
        <w:jc w:val="both"/>
        <w:rPr>
          <w:sz w:val="24"/>
          <w:szCs w:val="24"/>
          <w:lang w:eastAsia="ru-RU"/>
        </w:rPr>
      </w:pPr>
      <w:r>
        <w:rPr>
          <w:sz w:val="24"/>
          <w:szCs w:val="24"/>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pPr>
        <w:spacing w:after="0" w:line="240" w:lineRule="auto"/>
        <w:ind w:firstLine="540"/>
        <w:jc w:val="both"/>
        <w:rPr>
          <w:sz w:val="24"/>
          <w:szCs w:val="24"/>
          <w:lang w:eastAsia="ru-RU"/>
        </w:rPr>
      </w:pPr>
      <w:r>
        <w:rPr>
          <w:sz w:val="24"/>
          <w:szCs w:val="24"/>
          <w:lang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pPr>
        <w:spacing w:after="0" w:line="240" w:lineRule="auto"/>
        <w:ind w:firstLine="540"/>
        <w:jc w:val="both"/>
        <w:rPr>
          <w:sz w:val="24"/>
          <w:szCs w:val="24"/>
          <w:lang w:eastAsia="ru-RU"/>
        </w:rPr>
      </w:pPr>
      <w:r>
        <w:rPr>
          <w:sz w:val="24"/>
          <w:szCs w:val="24"/>
          <w:lang w:eastAsia="ru-RU"/>
        </w:rPr>
        <w:t>8.3.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pPr>
        <w:spacing w:after="0" w:line="240" w:lineRule="auto"/>
        <w:ind w:firstLine="540"/>
        <w:jc w:val="both"/>
        <w:rPr>
          <w:sz w:val="24"/>
          <w:szCs w:val="24"/>
          <w:lang w:eastAsia="ru-RU"/>
        </w:rPr>
      </w:pPr>
      <w:r>
        <w:rPr>
          <w:sz w:val="24"/>
          <w:szCs w:val="24"/>
          <w:lang w:eastAsia="ru-RU"/>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spacing w:after="0" w:line="240" w:lineRule="auto"/>
        <w:ind w:firstLine="540"/>
        <w:jc w:val="both"/>
        <w:rPr>
          <w:sz w:val="24"/>
          <w:szCs w:val="24"/>
          <w:lang w:eastAsia="ru-RU"/>
        </w:rPr>
      </w:pPr>
      <w:r>
        <w:rPr>
          <w:sz w:val="24"/>
          <w:szCs w:val="24"/>
          <w:lang w:eastAsia="ru-RU"/>
        </w:rPr>
        <w:t>8.5. В разі існування форс-мажорних обставин (обставин непереборної сили) понад 30 (тридцяти)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30 (тридцяти)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spacing w:after="0" w:line="240" w:lineRule="auto"/>
        <w:jc w:val="center"/>
        <w:rPr>
          <w:b/>
          <w:bCs/>
          <w:sz w:val="24"/>
          <w:szCs w:val="24"/>
          <w:lang w:eastAsia="ru-RU"/>
        </w:rPr>
      </w:pPr>
      <w:r>
        <w:rPr>
          <w:b/>
          <w:bCs/>
          <w:sz w:val="24"/>
          <w:szCs w:val="24"/>
          <w:lang w:eastAsia="ru-RU"/>
        </w:rPr>
        <w:t>9. ВИРІШЕННЯ СПОРІВ</w:t>
      </w:r>
    </w:p>
    <w:p>
      <w:pPr>
        <w:spacing w:after="0" w:line="240" w:lineRule="auto"/>
        <w:ind w:firstLine="540"/>
        <w:jc w:val="both"/>
        <w:rPr>
          <w:sz w:val="24"/>
          <w:szCs w:val="24"/>
          <w:lang w:eastAsia="ru-RU"/>
        </w:rPr>
      </w:pPr>
      <w:r>
        <w:rPr>
          <w:sz w:val="24"/>
          <w:szCs w:val="24"/>
          <w:lang w:eastAsia="ru-RU"/>
        </w:rPr>
        <w:t>9.1. Усі спори між Сторонами, що виникають з Договору або пов’язані з ним, вирішуються шляхом переговорів між Сторонами, а при недосягненні згоди — в судовому порядку.</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9.2. У випадках, не передбачених цим Договором, Сторони несуть відповідальність, передбачену чинним законодавством України.</w:t>
      </w:r>
    </w:p>
    <w:p>
      <w:pPr>
        <w:spacing w:after="0" w:line="240" w:lineRule="auto"/>
        <w:jc w:val="center"/>
        <w:rPr>
          <w:sz w:val="24"/>
          <w:szCs w:val="24"/>
          <w:lang w:eastAsia="ru-RU"/>
        </w:rPr>
      </w:pPr>
      <w:r>
        <w:rPr>
          <w:b/>
          <w:bCs/>
          <w:sz w:val="24"/>
          <w:szCs w:val="24"/>
          <w:lang w:eastAsia="ru-RU"/>
        </w:rPr>
        <w:t>10. СТРОК ДІЇ ДОГОВОРУ</w:t>
      </w:r>
    </w:p>
    <w:p>
      <w:pPr>
        <w:spacing w:after="0" w:line="240" w:lineRule="auto"/>
        <w:ind w:firstLine="567"/>
        <w:jc w:val="both"/>
        <w:rPr>
          <w:sz w:val="24"/>
          <w:szCs w:val="24"/>
          <w:lang w:eastAsia="ru-RU"/>
        </w:rPr>
      </w:pPr>
      <w:r>
        <w:rPr>
          <w:sz w:val="24"/>
          <w:szCs w:val="24"/>
          <w:lang w:eastAsia="ru-RU"/>
        </w:rPr>
        <w:t>10.1. Даний Договір набирає чинності з моменту його підписання уповноваженими представниками  Сторін і діє по 31 грудня 202</w:t>
      </w:r>
      <w:r>
        <w:rPr>
          <w:sz w:val="24"/>
          <w:szCs w:val="24"/>
          <w:lang w:val="ru-RU" w:eastAsia="ru-RU"/>
        </w:rPr>
        <w:t>3</w:t>
      </w:r>
      <w:r>
        <w:rPr>
          <w:sz w:val="24"/>
          <w:szCs w:val="24"/>
          <w:lang w:eastAsia="ru-RU"/>
        </w:rPr>
        <w:t xml:space="preserve"> року, але в будь-якому випадку до повного виконання Сторонами своїх зобов’язань. Даний Договір може бути скріплений печатками Сторін у разі їх використання.</w:t>
      </w:r>
    </w:p>
    <w:p>
      <w:pPr>
        <w:spacing w:after="0" w:line="240" w:lineRule="auto"/>
        <w:ind w:firstLine="567"/>
        <w:jc w:val="both"/>
        <w:rPr>
          <w:sz w:val="24"/>
          <w:szCs w:val="24"/>
          <w:lang w:eastAsia="ru-RU"/>
        </w:rPr>
      </w:pPr>
      <w:r>
        <w:rPr>
          <w:sz w:val="24"/>
          <w:szCs w:val="24"/>
          <w:lang w:eastAsia="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pacing w:after="0" w:line="240" w:lineRule="auto"/>
        <w:ind w:firstLine="540"/>
        <w:jc w:val="both"/>
        <w:rPr>
          <w:sz w:val="24"/>
          <w:szCs w:val="24"/>
          <w:lang w:eastAsia="ru-RU"/>
        </w:rPr>
      </w:pPr>
      <w:r>
        <w:rPr>
          <w:sz w:val="24"/>
          <w:szCs w:val="24"/>
          <w:lang w:eastAsia="ru-RU"/>
        </w:rPr>
        <w:t>10.3. Даний Договір укладено українською мовою в двох примірниках, які мають однакову юридичну силу, по одному для кожної із Сторін.</w:t>
      </w:r>
    </w:p>
    <w:p>
      <w:pPr>
        <w:tabs>
          <w:tab w:val="left" w:pos="9781"/>
        </w:tabs>
        <w:spacing w:after="0" w:line="240" w:lineRule="auto"/>
        <w:ind w:firstLine="540"/>
        <w:rPr>
          <w:sz w:val="24"/>
          <w:szCs w:val="24"/>
          <w:lang w:eastAsia="ru-RU"/>
        </w:rPr>
      </w:pPr>
      <w:r>
        <w:rPr>
          <w:sz w:val="24"/>
          <w:szCs w:val="24"/>
          <w:lang w:eastAsia="ru-RU"/>
        </w:rPr>
        <w:t>10.4. Дія Договору припиняється:</w:t>
      </w:r>
    </w:p>
    <w:p>
      <w:pPr>
        <w:widowControl w:val="0"/>
        <w:numPr>
          <w:ilvl w:val="0"/>
          <w:numId w:val="15"/>
        </w:numPr>
        <w:tabs>
          <w:tab w:val="left" w:pos="9781"/>
        </w:tabs>
        <w:spacing w:after="0" w:line="240" w:lineRule="auto"/>
        <w:jc w:val="both"/>
        <w:rPr>
          <w:sz w:val="24"/>
          <w:szCs w:val="24"/>
          <w:lang w:eastAsia="ru-RU"/>
        </w:rPr>
      </w:pPr>
      <w:r>
        <w:rPr>
          <w:sz w:val="24"/>
          <w:szCs w:val="24"/>
          <w:lang w:eastAsia="ru-RU"/>
        </w:rPr>
        <w:t>повним виконанням Сторонами своїх зобов’язань за цим Договором;</w:t>
      </w:r>
    </w:p>
    <w:p>
      <w:pPr>
        <w:widowControl w:val="0"/>
        <w:numPr>
          <w:ilvl w:val="0"/>
          <w:numId w:val="15"/>
        </w:numPr>
        <w:tabs>
          <w:tab w:val="left" w:pos="9781"/>
        </w:tabs>
        <w:spacing w:after="0" w:line="240" w:lineRule="auto"/>
        <w:jc w:val="both"/>
        <w:rPr>
          <w:sz w:val="24"/>
          <w:szCs w:val="24"/>
          <w:lang w:eastAsia="ru-RU"/>
        </w:rPr>
      </w:pPr>
      <w:r>
        <w:rPr>
          <w:sz w:val="24"/>
          <w:szCs w:val="24"/>
          <w:lang w:eastAsia="ru-RU"/>
        </w:rPr>
        <w:t>за згодою Сторін;</w:t>
      </w:r>
    </w:p>
    <w:p>
      <w:pPr>
        <w:widowControl w:val="0"/>
        <w:numPr>
          <w:ilvl w:val="0"/>
          <w:numId w:val="15"/>
        </w:numPr>
        <w:tabs>
          <w:tab w:val="left" w:pos="9781"/>
        </w:tabs>
        <w:spacing w:after="0" w:line="240" w:lineRule="auto"/>
        <w:jc w:val="both"/>
        <w:rPr>
          <w:sz w:val="24"/>
          <w:szCs w:val="24"/>
          <w:lang w:eastAsia="ru-RU"/>
        </w:rPr>
      </w:pPr>
      <w:r>
        <w:rPr>
          <w:sz w:val="24"/>
          <w:szCs w:val="24"/>
          <w:lang w:eastAsia="ru-RU"/>
        </w:rPr>
        <w:t>з інших підстав, передбачених чинним законодавством України, умовами цього Договору.</w:t>
      </w:r>
    </w:p>
    <w:p>
      <w:pPr>
        <w:spacing w:after="0" w:line="240" w:lineRule="auto"/>
        <w:jc w:val="center"/>
        <w:rPr>
          <w:b/>
          <w:bCs/>
          <w:sz w:val="24"/>
          <w:szCs w:val="24"/>
          <w:lang w:eastAsia="ru-RU"/>
        </w:rPr>
      </w:pPr>
      <w:r>
        <w:rPr>
          <w:b/>
          <w:bCs/>
          <w:sz w:val="24"/>
          <w:szCs w:val="24"/>
          <w:lang w:eastAsia="ru-RU"/>
        </w:rPr>
        <w:t>11. ІНШІ УМОВИ</w:t>
      </w:r>
    </w:p>
    <w:p>
      <w:pPr>
        <w:spacing w:after="0" w:line="240" w:lineRule="auto"/>
        <w:ind w:firstLine="540"/>
        <w:jc w:val="both"/>
        <w:rPr>
          <w:sz w:val="24"/>
          <w:szCs w:val="24"/>
          <w:lang w:eastAsia="ru-RU"/>
        </w:rPr>
      </w:pPr>
      <w:r>
        <w:rPr>
          <w:sz w:val="24"/>
          <w:szCs w:val="24"/>
          <w:lang w:eastAsia="ru-RU"/>
        </w:rPr>
        <w:t>11.1. Жодна із Сторін не має права передавати права та обов’язки за цим Договором третій особі без отримання письмової згоди іншої Сторони.</w:t>
      </w:r>
    </w:p>
    <w:p>
      <w:pPr>
        <w:widowControl w:val="0"/>
        <w:autoSpaceDE w:val="0"/>
        <w:autoSpaceDN w:val="0"/>
        <w:spacing w:after="0" w:line="240" w:lineRule="auto"/>
        <w:ind w:firstLine="567"/>
        <w:jc w:val="both"/>
        <w:rPr>
          <w:b/>
          <w:sz w:val="24"/>
          <w:szCs w:val="24"/>
          <w:lang w:eastAsia="ru-RU"/>
        </w:rPr>
      </w:pPr>
      <w:r>
        <w:rPr>
          <w:sz w:val="24"/>
          <w:szCs w:val="24"/>
          <w:lang w:eastAsia="ru-RU"/>
        </w:rPr>
        <w:t>11.2. У випадку зміни платіжних реквізитів Покупця Сторони зобов’язуються укласти відповідну додаткову угоду до Договору.</w:t>
      </w:r>
    </w:p>
    <w:p>
      <w:pPr>
        <w:widowControl w:val="0"/>
        <w:tabs>
          <w:tab w:val="left" w:pos="-284"/>
        </w:tabs>
        <w:spacing w:after="0" w:line="274" w:lineRule="exact"/>
        <w:ind w:right="40" w:firstLine="567"/>
        <w:jc w:val="both"/>
        <w:rPr>
          <w:sz w:val="24"/>
          <w:szCs w:val="24"/>
          <w:lang w:eastAsia="ru-RU"/>
        </w:rPr>
      </w:pPr>
      <w:r>
        <w:rPr>
          <w:sz w:val="24"/>
          <w:szCs w:val="24"/>
          <w:lang w:eastAsia="ru-RU"/>
        </w:rPr>
        <w:t>11.3.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pPr>
        <w:spacing w:after="0" w:line="240" w:lineRule="auto"/>
        <w:ind w:firstLine="567"/>
        <w:jc w:val="both"/>
        <w:rPr>
          <w:sz w:val="24"/>
          <w:szCs w:val="24"/>
          <w:lang w:eastAsia="ru-RU"/>
        </w:rPr>
      </w:pPr>
      <w:r>
        <w:rPr>
          <w:sz w:val="24"/>
          <w:szCs w:val="24"/>
          <w:lang w:eastAsia="ru-RU"/>
        </w:rPr>
        <w:t xml:space="preserve">11.4.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w:t>
      </w:r>
    </w:p>
    <w:p>
      <w:pPr>
        <w:spacing w:after="0" w:line="240" w:lineRule="auto"/>
        <w:jc w:val="center"/>
        <w:rPr>
          <w:b/>
          <w:sz w:val="24"/>
          <w:szCs w:val="24"/>
          <w:lang w:eastAsia="ru-RU"/>
        </w:rPr>
      </w:pPr>
      <w:r>
        <w:rPr>
          <w:b/>
          <w:sz w:val="24"/>
          <w:szCs w:val="24"/>
          <w:lang w:eastAsia="ru-RU"/>
        </w:rPr>
        <w:t>12 ДОДАТКИ ДО ДОГОВОРУ</w:t>
      </w:r>
    </w:p>
    <w:p>
      <w:pPr>
        <w:spacing w:after="0" w:line="240" w:lineRule="auto"/>
        <w:ind w:firstLine="540"/>
        <w:jc w:val="both"/>
        <w:rPr>
          <w:sz w:val="24"/>
          <w:szCs w:val="24"/>
          <w:lang w:eastAsia="ru-RU"/>
        </w:rPr>
      </w:pPr>
      <w:r>
        <w:rPr>
          <w:sz w:val="24"/>
          <w:szCs w:val="24"/>
          <w:lang w:eastAsia="ru-RU"/>
        </w:rPr>
        <w:t>12.1. Невід’ємною частиною цього Договору є Додаток 1 – «Специфікація».</w:t>
      </w:r>
    </w:p>
    <w:p>
      <w:pPr>
        <w:spacing w:after="0" w:line="240" w:lineRule="auto"/>
        <w:jc w:val="center"/>
        <w:rPr>
          <w:sz w:val="24"/>
          <w:szCs w:val="24"/>
          <w:lang w:eastAsia="ru-RU"/>
        </w:rPr>
      </w:pPr>
      <w:r>
        <w:rPr>
          <w:b/>
          <w:bCs/>
          <w:sz w:val="24"/>
          <w:szCs w:val="24"/>
          <w:lang w:eastAsia="ru-RU"/>
        </w:rPr>
        <w:t>13. МІСЦЕЗНАХОДЖЕННЯ ТА БАНКІВСЬКІ РЕКВІЗИТИ СТОРІН:</w:t>
      </w:r>
    </w:p>
    <w:p>
      <w:pPr>
        <w:spacing w:after="0" w:line="240" w:lineRule="auto"/>
        <w:jc w:val="both"/>
        <w:rPr>
          <w:sz w:val="24"/>
          <w:szCs w:val="24"/>
          <w:lang w:eastAsia="ru-RU"/>
        </w:rPr>
      </w:pPr>
    </w:p>
    <w:tbl>
      <w:tblPr>
        <w:tblStyle w:val="6"/>
        <w:tblW w:w="0" w:type="auto"/>
        <w:tblInd w:w="0" w:type="dxa"/>
        <w:tblLayout w:type="autofit"/>
        <w:tblCellMar>
          <w:top w:w="0" w:type="dxa"/>
          <w:left w:w="108" w:type="dxa"/>
          <w:bottom w:w="0" w:type="dxa"/>
          <w:right w:w="108" w:type="dxa"/>
        </w:tblCellMar>
      </w:tblPr>
      <w:tblGrid>
        <w:gridCol w:w="4785"/>
        <w:gridCol w:w="4786"/>
      </w:tblGrid>
      <w:tr>
        <w:tc>
          <w:tcPr>
            <w:tcW w:w="4785" w:type="dxa"/>
            <w:shd w:val="clear" w:color="auto" w:fill="auto"/>
          </w:tcPr>
          <w:p>
            <w:pPr>
              <w:spacing w:after="0" w:line="240" w:lineRule="auto"/>
              <w:rPr>
                <w:sz w:val="24"/>
                <w:szCs w:val="24"/>
                <w:lang w:eastAsia="ru-RU"/>
              </w:rPr>
            </w:pPr>
            <w:r>
              <w:rPr>
                <w:sz w:val="24"/>
                <w:szCs w:val="24"/>
                <w:lang w:eastAsia="ru-RU"/>
              </w:rPr>
              <w:t>ПОКУПЕЦЬ:</w:t>
            </w:r>
          </w:p>
          <w:p>
            <w:pPr>
              <w:spacing w:after="0" w:line="240" w:lineRule="auto"/>
              <w:rPr>
                <w:sz w:val="24"/>
                <w:szCs w:val="24"/>
                <w:lang w:eastAsia="ru-RU"/>
              </w:rPr>
            </w:pPr>
            <w:r>
              <w:rPr>
                <w:sz w:val="24"/>
                <w:szCs w:val="24"/>
                <w:lang w:eastAsia="ru-RU"/>
              </w:rPr>
              <w:t>Комунальне підприємство Білоцерківської міської ради «Муніципальне шляхово-експлуатаційне управління»</w:t>
            </w:r>
          </w:p>
          <w:p>
            <w:pPr>
              <w:spacing w:after="0" w:line="240" w:lineRule="auto"/>
              <w:rPr>
                <w:sz w:val="24"/>
                <w:szCs w:val="24"/>
                <w:lang w:eastAsia="ru-RU"/>
              </w:rPr>
            </w:pPr>
            <w:r>
              <w:rPr>
                <w:sz w:val="24"/>
                <w:szCs w:val="24"/>
                <w:lang w:eastAsia="ru-RU"/>
              </w:rPr>
              <w:t>Юридична адреса:</w:t>
            </w:r>
          </w:p>
          <w:p>
            <w:pPr>
              <w:spacing w:after="0" w:line="240" w:lineRule="auto"/>
              <w:rPr>
                <w:sz w:val="24"/>
                <w:szCs w:val="24"/>
                <w:lang w:eastAsia="ru-RU"/>
              </w:rPr>
            </w:pPr>
            <w:r>
              <w:rPr>
                <w:sz w:val="24"/>
                <w:szCs w:val="24"/>
                <w:lang w:eastAsia="ru-RU"/>
              </w:rPr>
              <w:t>09100,  Київська обл., м. Біла Церква,</w:t>
            </w:r>
          </w:p>
          <w:p>
            <w:pPr>
              <w:spacing w:after="0" w:line="240" w:lineRule="auto"/>
              <w:rPr>
                <w:sz w:val="24"/>
                <w:szCs w:val="24"/>
                <w:lang w:eastAsia="ru-RU"/>
              </w:rPr>
            </w:pPr>
            <w:r>
              <w:rPr>
                <w:sz w:val="24"/>
                <w:szCs w:val="24"/>
                <w:lang w:eastAsia="ru-RU"/>
              </w:rPr>
              <w:t>вул. Мережна, буд.44А</w:t>
            </w:r>
          </w:p>
          <w:p>
            <w:pPr>
              <w:spacing w:after="0" w:line="240" w:lineRule="auto"/>
              <w:rPr>
                <w:sz w:val="24"/>
                <w:szCs w:val="24"/>
                <w:lang w:eastAsia="ru-RU"/>
              </w:rPr>
            </w:pPr>
            <w:r>
              <w:rPr>
                <w:sz w:val="24"/>
                <w:szCs w:val="24"/>
                <w:lang w:eastAsia="ru-RU"/>
              </w:rPr>
              <w:t>код ЄДРПОУ 24223578</w:t>
            </w:r>
          </w:p>
          <w:p>
            <w:pPr>
              <w:spacing w:after="0" w:line="240" w:lineRule="auto"/>
              <w:rPr>
                <w:sz w:val="24"/>
                <w:szCs w:val="24"/>
                <w:lang w:eastAsia="ru-RU"/>
              </w:rPr>
            </w:pPr>
            <w:r>
              <w:rPr>
                <w:sz w:val="24"/>
                <w:szCs w:val="24"/>
                <w:lang w:eastAsia="ru-RU"/>
              </w:rPr>
              <w:t>ІПН 242235710276</w:t>
            </w:r>
          </w:p>
          <w:p>
            <w:pPr>
              <w:spacing w:after="0" w:line="240" w:lineRule="auto"/>
              <w:rPr>
                <w:sz w:val="22"/>
              </w:rPr>
            </w:pPr>
            <w:r>
              <w:rPr>
                <w:sz w:val="22"/>
              </w:rPr>
              <w:t>р/р № UA288201720344300004000084992</w:t>
            </w:r>
          </w:p>
          <w:p>
            <w:pPr>
              <w:spacing w:after="0" w:line="240" w:lineRule="auto"/>
              <w:rPr>
                <w:sz w:val="22"/>
              </w:rPr>
            </w:pPr>
            <w:r>
              <w:rPr>
                <w:sz w:val="22"/>
              </w:rPr>
              <w:t>в Держказначейська служба України,м. Київ</w:t>
            </w:r>
          </w:p>
          <w:p>
            <w:pPr>
              <w:spacing w:after="0" w:line="240" w:lineRule="auto"/>
              <w:rPr>
                <w:sz w:val="24"/>
                <w:szCs w:val="24"/>
                <w:lang w:eastAsia="ru-RU"/>
              </w:rPr>
            </w:pPr>
          </w:p>
          <w:p>
            <w:pPr>
              <w:spacing w:after="0" w:line="240" w:lineRule="auto"/>
              <w:rPr>
                <w:sz w:val="24"/>
                <w:szCs w:val="24"/>
                <w:lang w:eastAsia="ru-RU"/>
              </w:rPr>
            </w:pPr>
            <w:r>
              <w:rPr>
                <w:sz w:val="24"/>
                <w:szCs w:val="24"/>
                <w:lang w:eastAsia="ru-RU"/>
              </w:rPr>
              <w:t xml:space="preserve">Директор  </w:t>
            </w:r>
          </w:p>
          <w:p>
            <w:pPr>
              <w:spacing w:after="0" w:line="240" w:lineRule="auto"/>
              <w:rPr>
                <w:sz w:val="24"/>
                <w:szCs w:val="24"/>
                <w:lang w:eastAsia="ru-RU"/>
              </w:rPr>
            </w:pPr>
          </w:p>
          <w:p>
            <w:pPr>
              <w:keepNext/>
              <w:spacing w:after="0" w:line="240" w:lineRule="auto"/>
              <w:outlineLvl w:val="2"/>
              <w:rPr>
                <w:sz w:val="24"/>
                <w:szCs w:val="24"/>
                <w:lang w:eastAsia="ru-RU"/>
              </w:rPr>
            </w:pPr>
            <w:r>
              <w:rPr>
                <w:sz w:val="24"/>
                <w:szCs w:val="24"/>
                <w:lang w:eastAsia="ru-RU"/>
              </w:rPr>
              <w:t>_____________А.В.Биба</w:t>
            </w:r>
          </w:p>
        </w:tc>
        <w:tc>
          <w:tcPr>
            <w:tcW w:w="4786" w:type="dxa"/>
            <w:shd w:val="clear" w:color="auto" w:fill="auto"/>
          </w:tcPr>
          <w:p>
            <w:pPr>
              <w:spacing w:after="0" w:line="240" w:lineRule="auto"/>
              <w:rPr>
                <w:sz w:val="24"/>
                <w:szCs w:val="24"/>
                <w:lang w:eastAsia="ru-RU"/>
              </w:rPr>
            </w:pPr>
            <w:r>
              <w:rPr>
                <w:sz w:val="24"/>
                <w:szCs w:val="24"/>
                <w:lang w:eastAsia="ru-RU"/>
              </w:rPr>
              <w:t>ПОСТАЧАЛЬНИК:</w:t>
            </w:r>
          </w:p>
          <w:p>
            <w:pPr>
              <w:spacing w:after="0" w:line="240" w:lineRule="auto"/>
              <w:rPr>
                <w:sz w:val="24"/>
                <w:szCs w:val="24"/>
                <w:lang w:eastAsia="ru-RU"/>
              </w:rPr>
            </w:pPr>
          </w:p>
        </w:tc>
      </w:tr>
    </w:tbl>
    <w:p>
      <w:pPr>
        <w:spacing w:after="0" w:line="240" w:lineRule="auto"/>
        <w:rPr>
          <w:b/>
          <w:sz w:val="24"/>
          <w:szCs w:val="24"/>
          <w:lang w:val="ru-RU" w:eastAsia="ru-RU"/>
        </w:rPr>
      </w:pPr>
    </w:p>
    <w:p>
      <w:pPr>
        <w:spacing w:after="0" w:line="240" w:lineRule="auto"/>
        <w:rPr>
          <w:b/>
          <w:sz w:val="24"/>
          <w:szCs w:val="24"/>
          <w:lang w:eastAsia="ru-RU"/>
        </w:rPr>
      </w:pPr>
    </w:p>
    <w:p>
      <w:pPr>
        <w:spacing w:after="0" w:line="240" w:lineRule="auto"/>
        <w:ind w:left="5529" w:firstLine="708"/>
        <w:rPr>
          <w:b/>
          <w:sz w:val="24"/>
          <w:szCs w:val="24"/>
          <w:lang w:eastAsia="ru-RU"/>
        </w:rPr>
      </w:pPr>
      <w:r>
        <w:rPr>
          <w:b/>
          <w:sz w:val="24"/>
          <w:szCs w:val="24"/>
          <w:lang w:eastAsia="ru-RU"/>
        </w:rPr>
        <w:t>Додаток 1</w:t>
      </w:r>
    </w:p>
    <w:p>
      <w:pPr>
        <w:spacing w:after="0" w:line="240" w:lineRule="auto"/>
        <w:ind w:firstLine="6237"/>
        <w:rPr>
          <w:b/>
          <w:sz w:val="24"/>
          <w:szCs w:val="24"/>
          <w:lang w:eastAsia="ru-RU"/>
        </w:rPr>
      </w:pPr>
      <w:r>
        <w:rPr>
          <w:b/>
          <w:sz w:val="24"/>
          <w:szCs w:val="24"/>
          <w:lang w:eastAsia="ru-RU"/>
        </w:rPr>
        <w:t>до Договору № ______</w:t>
      </w:r>
    </w:p>
    <w:p>
      <w:pPr>
        <w:spacing w:after="0" w:line="240" w:lineRule="auto"/>
        <w:ind w:firstLine="6237"/>
        <w:rPr>
          <w:b/>
          <w:sz w:val="24"/>
          <w:szCs w:val="24"/>
          <w:lang w:eastAsia="ru-RU"/>
        </w:rPr>
      </w:pPr>
      <w:r>
        <w:rPr>
          <w:b/>
          <w:sz w:val="24"/>
          <w:szCs w:val="24"/>
          <w:lang w:eastAsia="ru-RU"/>
        </w:rPr>
        <w:t>від «___»__________ 202</w:t>
      </w:r>
      <w:r>
        <w:rPr>
          <w:b/>
          <w:sz w:val="24"/>
          <w:szCs w:val="24"/>
          <w:lang w:val="ru-RU" w:eastAsia="ru-RU"/>
        </w:rPr>
        <w:t>3</w:t>
      </w:r>
      <w:r>
        <w:rPr>
          <w:b/>
          <w:sz w:val="24"/>
          <w:szCs w:val="24"/>
          <w:lang w:eastAsia="ru-RU"/>
        </w:rPr>
        <w:t xml:space="preserve"> р.</w:t>
      </w:r>
    </w:p>
    <w:p>
      <w:pPr>
        <w:spacing w:after="0" w:line="240" w:lineRule="auto"/>
        <w:ind w:firstLine="6237"/>
        <w:rPr>
          <w:b/>
          <w:sz w:val="24"/>
          <w:szCs w:val="24"/>
          <w:lang w:eastAsia="ru-RU"/>
        </w:rPr>
      </w:pPr>
      <w:r>
        <w:rPr>
          <w:b/>
          <w:sz w:val="24"/>
          <w:szCs w:val="24"/>
          <w:lang w:eastAsia="ru-RU"/>
        </w:rPr>
        <w:t xml:space="preserve">про закупівлю товарів </w:t>
      </w:r>
    </w:p>
    <w:p>
      <w:pPr>
        <w:spacing w:after="0" w:line="240" w:lineRule="auto"/>
        <w:ind w:firstLine="708"/>
        <w:jc w:val="right"/>
        <w:rPr>
          <w:b/>
          <w:sz w:val="24"/>
          <w:szCs w:val="24"/>
          <w:lang w:eastAsia="ru-RU"/>
        </w:rPr>
      </w:pPr>
    </w:p>
    <w:p>
      <w:pPr>
        <w:spacing w:after="0" w:line="240" w:lineRule="auto"/>
        <w:jc w:val="center"/>
        <w:rPr>
          <w:b/>
          <w:sz w:val="24"/>
          <w:szCs w:val="24"/>
          <w:lang w:eastAsia="ru-RU"/>
        </w:rPr>
      </w:pPr>
      <w:r>
        <w:rPr>
          <w:b/>
          <w:sz w:val="24"/>
          <w:szCs w:val="24"/>
          <w:lang w:eastAsia="ru-RU"/>
        </w:rPr>
        <w:t>СПЕЦИФІКАЦІЯ</w:t>
      </w:r>
    </w:p>
    <w:tbl>
      <w:tblPr>
        <w:tblStyle w:val="6"/>
        <w:tblW w:w="0" w:type="auto"/>
        <w:tblInd w:w="108" w:type="dxa"/>
        <w:tblLayout w:type="autofit"/>
        <w:tblCellMar>
          <w:top w:w="0" w:type="dxa"/>
          <w:left w:w="108" w:type="dxa"/>
          <w:bottom w:w="0" w:type="dxa"/>
          <w:right w:w="108" w:type="dxa"/>
        </w:tblCellMar>
      </w:tblPr>
      <w:tblGrid>
        <w:gridCol w:w="4632"/>
        <w:gridCol w:w="4831"/>
      </w:tblGrid>
      <w:tr>
        <w:tc>
          <w:tcPr>
            <w:tcW w:w="4632" w:type="dxa"/>
            <w:shd w:val="clear" w:color="auto" w:fill="auto"/>
          </w:tcPr>
          <w:p>
            <w:pPr>
              <w:spacing w:after="0" w:line="240" w:lineRule="auto"/>
              <w:rPr>
                <w:sz w:val="24"/>
                <w:szCs w:val="24"/>
                <w:lang w:eastAsia="ru-RU"/>
              </w:rPr>
            </w:pPr>
            <w:r>
              <w:rPr>
                <w:sz w:val="24"/>
                <w:szCs w:val="24"/>
                <w:lang w:eastAsia="ru-RU"/>
              </w:rPr>
              <w:t>м. Біла Церква</w:t>
            </w:r>
          </w:p>
        </w:tc>
        <w:tc>
          <w:tcPr>
            <w:tcW w:w="4831" w:type="dxa"/>
            <w:shd w:val="clear" w:color="auto" w:fill="auto"/>
          </w:tcPr>
          <w:p>
            <w:pPr>
              <w:spacing w:after="0" w:line="240" w:lineRule="auto"/>
              <w:jc w:val="right"/>
              <w:rPr>
                <w:sz w:val="24"/>
                <w:szCs w:val="24"/>
                <w:lang w:eastAsia="ru-RU"/>
              </w:rPr>
            </w:pPr>
            <w:r>
              <w:rPr>
                <w:sz w:val="24"/>
                <w:szCs w:val="24"/>
                <w:lang w:eastAsia="ru-RU"/>
              </w:rPr>
              <w:t>«____» _____________ 202</w:t>
            </w:r>
            <w:r>
              <w:rPr>
                <w:sz w:val="24"/>
                <w:szCs w:val="24"/>
                <w:lang w:val="ru-RU" w:eastAsia="ru-RU"/>
              </w:rPr>
              <w:t>3</w:t>
            </w:r>
            <w:r>
              <w:rPr>
                <w:sz w:val="24"/>
                <w:szCs w:val="24"/>
                <w:lang w:eastAsia="ru-RU"/>
              </w:rPr>
              <w:t xml:space="preserve"> р.</w:t>
            </w:r>
          </w:p>
        </w:tc>
      </w:tr>
    </w:tbl>
    <w:p>
      <w:pPr>
        <w:spacing w:after="0" w:line="240" w:lineRule="auto"/>
        <w:rPr>
          <w:sz w:val="24"/>
          <w:szCs w:val="24"/>
          <w:lang w:eastAsia="ru-RU"/>
        </w:rPr>
      </w:pPr>
    </w:p>
    <w:p>
      <w:pPr>
        <w:spacing w:after="0" w:line="240" w:lineRule="auto"/>
        <w:ind w:firstLine="540"/>
        <w:jc w:val="both"/>
        <w:rPr>
          <w:sz w:val="24"/>
          <w:szCs w:val="24"/>
          <w:lang w:eastAsia="ru-RU"/>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3328"/>
        <w:gridCol w:w="1275"/>
        <w:gridCol w:w="1995"/>
        <w:gridCol w:w="11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b/>
                <w:bCs/>
                <w:sz w:val="24"/>
                <w:szCs w:val="24"/>
                <w:lang w:eastAsia="ru-RU"/>
              </w:rPr>
            </w:pPr>
            <w:r>
              <w:rPr>
                <w:b/>
                <w:bCs/>
                <w:sz w:val="24"/>
                <w:szCs w:val="24"/>
                <w:lang w:eastAsia="ru-RU"/>
              </w:rPr>
              <w:t>№</w:t>
            </w:r>
          </w:p>
          <w:p>
            <w:pPr>
              <w:tabs>
                <w:tab w:val="left" w:pos="0"/>
                <w:tab w:val="center" w:pos="4819"/>
                <w:tab w:val="right" w:pos="9639"/>
              </w:tabs>
              <w:spacing w:after="0" w:line="240" w:lineRule="auto"/>
              <w:jc w:val="center"/>
              <w:rPr>
                <w:b/>
                <w:sz w:val="24"/>
                <w:szCs w:val="24"/>
                <w:lang w:eastAsia="ru-RU"/>
              </w:rPr>
            </w:pPr>
            <w:r>
              <w:rPr>
                <w:b/>
                <w:bCs/>
                <w:sz w:val="24"/>
                <w:szCs w:val="24"/>
                <w:lang w:eastAsia="ru-RU"/>
              </w:rPr>
              <w:t>з/п</w:t>
            </w:r>
          </w:p>
        </w:tc>
        <w:tc>
          <w:tcPr>
            <w:tcW w:w="33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sz w:val="24"/>
                <w:szCs w:val="24"/>
                <w:lang w:eastAsia="ru-RU"/>
              </w:rPr>
            </w:pPr>
            <w:r>
              <w:rPr>
                <w:b/>
                <w:sz w:val="24"/>
                <w:szCs w:val="24"/>
                <w:lang w:eastAsia="ru-RU"/>
              </w:rPr>
              <w:t xml:space="preserve">Повне найменування товару </w:t>
            </w:r>
          </w:p>
        </w:tc>
        <w:tc>
          <w:tcPr>
            <w:tcW w:w="1275" w:type="dxa"/>
            <w:tcBorders>
              <w:top w:val="single" w:color="auto" w:sz="4" w:space="0"/>
              <w:left w:val="single" w:color="auto" w:sz="4" w:space="0"/>
              <w:bottom w:val="single" w:color="auto" w:sz="4" w:space="0"/>
              <w:right w:val="single" w:color="auto" w:sz="4" w:space="0"/>
            </w:tcBorders>
          </w:tcPr>
          <w:p>
            <w:pPr>
              <w:spacing w:before="60" w:after="60" w:line="240" w:lineRule="auto"/>
              <w:jc w:val="center"/>
              <w:rPr>
                <w:b/>
                <w:iCs/>
                <w:sz w:val="24"/>
                <w:szCs w:val="24"/>
                <w:lang w:eastAsia="ru-RU"/>
              </w:rPr>
            </w:pPr>
            <w:r>
              <w:rPr>
                <w:b/>
                <w:iCs/>
                <w:sz w:val="24"/>
                <w:szCs w:val="24"/>
                <w:lang w:eastAsia="ru-RU"/>
              </w:rPr>
              <w:t>Од.</w:t>
            </w:r>
          </w:p>
          <w:p>
            <w:pPr>
              <w:spacing w:before="60" w:after="60" w:line="240" w:lineRule="auto"/>
              <w:jc w:val="center"/>
              <w:rPr>
                <w:b/>
                <w:iCs/>
                <w:sz w:val="24"/>
                <w:szCs w:val="24"/>
                <w:lang w:eastAsia="ru-RU"/>
              </w:rPr>
            </w:pPr>
            <w:r>
              <w:rPr>
                <w:b/>
                <w:iCs/>
                <w:sz w:val="24"/>
                <w:szCs w:val="24"/>
                <w:lang w:eastAsia="ru-RU"/>
              </w:rPr>
              <w:t>вим.</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sz w:val="24"/>
                <w:szCs w:val="24"/>
                <w:lang w:eastAsia="ru-RU"/>
              </w:rPr>
            </w:pPr>
            <w:r>
              <w:rPr>
                <w:b/>
                <w:bCs/>
                <w:sz w:val="24"/>
                <w:szCs w:val="24"/>
                <w:lang w:eastAsia="ru-RU"/>
              </w:rPr>
              <w:t>Кількість, одиниць</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line="240" w:lineRule="auto"/>
              <w:jc w:val="center"/>
              <w:rPr>
                <w:b/>
                <w:iCs/>
                <w:sz w:val="24"/>
                <w:szCs w:val="24"/>
                <w:lang w:eastAsia="ru-RU"/>
              </w:rPr>
            </w:pPr>
            <w:r>
              <w:rPr>
                <w:b/>
                <w:iCs/>
                <w:sz w:val="24"/>
                <w:szCs w:val="24"/>
                <w:lang w:eastAsia="ru-RU"/>
              </w:rPr>
              <w:t>Ціна за од, грн., без ПДВ</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line="240" w:lineRule="auto"/>
              <w:jc w:val="center"/>
              <w:rPr>
                <w:b/>
                <w:iCs/>
                <w:sz w:val="24"/>
                <w:szCs w:val="24"/>
                <w:lang w:eastAsia="ru-RU"/>
              </w:rPr>
            </w:pPr>
            <w:r>
              <w:rPr>
                <w:b/>
                <w:iCs/>
                <w:sz w:val="24"/>
                <w:szCs w:val="24"/>
                <w:lang w:eastAsia="ru-RU"/>
              </w:rPr>
              <w:t>Сума, грн.,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sz w:val="24"/>
                <w:szCs w:val="24"/>
                <w:lang w:eastAsia="ru-RU"/>
              </w:rPr>
            </w:pPr>
            <w:r>
              <w:rPr>
                <w:b/>
                <w:iCs/>
                <w:sz w:val="24"/>
                <w:szCs w:val="24"/>
                <w:lang w:eastAsia="ru-RU"/>
              </w:rPr>
              <w:t>Разом без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iCs/>
                <w:sz w:val="24"/>
                <w:szCs w:val="24"/>
                <w:lang w:eastAsia="ru-RU"/>
              </w:rPr>
            </w:pPr>
            <w:r>
              <w:rPr>
                <w:b/>
                <w:sz w:val="24"/>
                <w:szCs w:val="24"/>
                <w:lang w:eastAsia="ru-RU"/>
              </w:rPr>
              <w:t xml:space="preserve">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iCs/>
                <w:sz w:val="24"/>
                <w:szCs w:val="24"/>
                <w:vertAlign w:val="superscript"/>
                <w:lang w:eastAsia="ru-RU"/>
              </w:rPr>
            </w:pPr>
            <w:r>
              <w:rPr>
                <w:b/>
                <w:sz w:val="24"/>
                <w:szCs w:val="24"/>
                <w:lang w:eastAsia="ru-RU"/>
              </w:rPr>
              <w:t>Всього з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bl>
    <w:p>
      <w:pPr>
        <w:spacing w:after="0" w:line="240" w:lineRule="auto"/>
        <w:ind w:firstLine="540"/>
        <w:jc w:val="both"/>
        <w:rPr>
          <w:sz w:val="24"/>
          <w:szCs w:val="24"/>
          <w:lang w:eastAsia="ru-RU"/>
        </w:rPr>
      </w:pPr>
    </w:p>
    <w:p>
      <w:pPr>
        <w:spacing w:after="0" w:line="240" w:lineRule="auto"/>
        <w:ind w:firstLine="540"/>
        <w:jc w:val="both"/>
        <w:rPr>
          <w:sz w:val="24"/>
          <w:szCs w:val="24"/>
          <w:lang w:eastAsia="ru-RU"/>
        </w:rPr>
      </w:pPr>
    </w:p>
    <w:tbl>
      <w:tblPr>
        <w:tblStyle w:val="6"/>
        <w:tblW w:w="0" w:type="auto"/>
        <w:tblInd w:w="0" w:type="dxa"/>
        <w:tblLayout w:type="autofit"/>
        <w:tblCellMar>
          <w:top w:w="0" w:type="dxa"/>
          <w:left w:w="108" w:type="dxa"/>
          <w:bottom w:w="0" w:type="dxa"/>
          <w:right w:w="108" w:type="dxa"/>
        </w:tblCellMar>
      </w:tblPr>
      <w:tblGrid>
        <w:gridCol w:w="6231"/>
        <w:gridCol w:w="3624"/>
      </w:tblGrid>
      <w:tr>
        <w:tblPrEx>
          <w:tblCellMar>
            <w:top w:w="0" w:type="dxa"/>
            <w:left w:w="108" w:type="dxa"/>
            <w:bottom w:w="0" w:type="dxa"/>
            <w:right w:w="108" w:type="dxa"/>
          </w:tblCellMar>
        </w:tblPrEx>
        <w:tc>
          <w:tcPr>
            <w:tcW w:w="4785" w:type="dxa"/>
            <w:shd w:val="clear" w:color="auto" w:fill="auto"/>
          </w:tcPr>
          <w:tbl>
            <w:tblPr>
              <w:tblStyle w:val="6"/>
              <w:tblW w:w="6015" w:type="dxa"/>
              <w:tblInd w:w="0" w:type="dxa"/>
              <w:tblLayout w:type="autofit"/>
              <w:tblCellMar>
                <w:top w:w="0" w:type="dxa"/>
                <w:left w:w="108" w:type="dxa"/>
                <w:bottom w:w="0" w:type="dxa"/>
                <w:right w:w="108" w:type="dxa"/>
              </w:tblCellMar>
            </w:tblPr>
            <w:tblGrid>
              <w:gridCol w:w="5103"/>
              <w:gridCol w:w="912"/>
            </w:tblGrid>
            <w:tr>
              <w:tc>
                <w:tcPr>
                  <w:tcW w:w="5103" w:type="dxa"/>
                  <w:shd w:val="clear" w:color="auto" w:fill="auto"/>
                </w:tcPr>
                <w:p>
                  <w:pPr>
                    <w:spacing w:after="0" w:line="240" w:lineRule="auto"/>
                    <w:rPr>
                      <w:b/>
                      <w:sz w:val="24"/>
                      <w:szCs w:val="24"/>
                      <w:lang w:eastAsia="ru-RU"/>
                    </w:rPr>
                  </w:pPr>
                  <w:r>
                    <w:rPr>
                      <w:b/>
                      <w:sz w:val="24"/>
                      <w:szCs w:val="24"/>
                      <w:lang w:eastAsia="ru-RU"/>
                    </w:rPr>
                    <w:t>ПОКУПЕЦЬ:</w:t>
                  </w:r>
                </w:p>
                <w:p>
                  <w:pPr>
                    <w:spacing w:after="0" w:line="240" w:lineRule="auto"/>
                    <w:rPr>
                      <w:sz w:val="24"/>
                      <w:szCs w:val="24"/>
                      <w:lang w:eastAsia="ru-RU"/>
                    </w:rPr>
                  </w:pPr>
                  <w:r>
                    <w:rPr>
                      <w:sz w:val="24"/>
                      <w:szCs w:val="24"/>
                      <w:lang w:eastAsia="ru-RU"/>
                    </w:rPr>
                    <w:t>Комунальне підприємство Білоцерківської міської ради «Муніципальне шляхово-експлуатаційне управління»</w:t>
                  </w:r>
                </w:p>
                <w:p>
                  <w:pPr>
                    <w:spacing w:after="0" w:line="240" w:lineRule="auto"/>
                    <w:rPr>
                      <w:sz w:val="24"/>
                      <w:szCs w:val="24"/>
                      <w:lang w:eastAsia="ru-RU"/>
                    </w:rPr>
                  </w:pPr>
                  <w:r>
                    <w:rPr>
                      <w:sz w:val="24"/>
                      <w:szCs w:val="24"/>
                      <w:lang w:eastAsia="ru-RU"/>
                    </w:rPr>
                    <w:t>Юридична адреса:</w:t>
                  </w:r>
                </w:p>
                <w:p>
                  <w:pPr>
                    <w:spacing w:after="0" w:line="240" w:lineRule="auto"/>
                    <w:rPr>
                      <w:sz w:val="24"/>
                      <w:szCs w:val="24"/>
                      <w:lang w:eastAsia="ru-RU"/>
                    </w:rPr>
                  </w:pPr>
                  <w:r>
                    <w:rPr>
                      <w:sz w:val="24"/>
                      <w:szCs w:val="24"/>
                      <w:lang w:eastAsia="ru-RU"/>
                    </w:rPr>
                    <w:t>09100,  Київська обл., м. Біла Церква,</w:t>
                  </w:r>
                </w:p>
                <w:p>
                  <w:pPr>
                    <w:spacing w:after="0" w:line="240" w:lineRule="auto"/>
                    <w:rPr>
                      <w:sz w:val="24"/>
                      <w:szCs w:val="24"/>
                      <w:lang w:eastAsia="ru-RU"/>
                    </w:rPr>
                  </w:pPr>
                  <w:r>
                    <w:rPr>
                      <w:sz w:val="24"/>
                      <w:szCs w:val="24"/>
                      <w:lang w:eastAsia="ru-RU"/>
                    </w:rPr>
                    <w:t>вул. Мережна, буд.44А</w:t>
                  </w:r>
                </w:p>
                <w:p>
                  <w:pPr>
                    <w:spacing w:after="0" w:line="240" w:lineRule="auto"/>
                    <w:rPr>
                      <w:sz w:val="24"/>
                      <w:szCs w:val="24"/>
                      <w:lang w:eastAsia="ru-RU"/>
                    </w:rPr>
                  </w:pPr>
                  <w:r>
                    <w:rPr>
                      <w:sz w:val="24"/>
                      <w:szCs w:val="24"/>
                      <w:lang w:eastAsia="ru-RU"/>
                    </w:rPr>
                    <w:t>код ЄДРПОУ 24223578</w:t>
                  </w:r>
                </w:p>
                <w:p>
                  <w:pPr>
                    <w:spacing w:after="0" w:line="240" w:lineRule="auto"/>
                    <w:rPr>
                      <w:sz w:val="24"/>
                      <w:szCs w:val="24"/>
                      <w:lang w:eastAsia="ru-RU"/>
                    </w:rPr>
                  </w:pPr>
                  <w:r>
                    <w:rPr>
                      <w:sz w:val="24"/>
                      <w:szCs w:val="24"/>
                      <w:lang w:eastAsia="ru-RU"/>
                    </w:rPr>
                    <w:t>ІПН 242235710276</w:t>
                  </w:r>
                </w:p>
                <w:p>
                  <w:pPr>
                    <w:spacing w:after="0" w:line="240" w:lineRule="auto"/>
                    <w:rPr>
                      <w:sz w:val="22"/>
                    </w:rPr>
                  </w:pPr>
                  <w:r>
                    <w:rPr>
                      <w:sz w:val="22"/>
                    </w:rPr>
                    <w:t>р/р № UA288201720344300004000084992</w:t>
                  </w:r>
                </w:p>
                <w:p>
                  <w:pPr>
                    <w:spacing w:after="0" w:line="240" w:lineRule="auto"/>
                    <w:rPr>
                      <w:sz w:val="22"/>
                    </w:rPr>
                  </w:pPr>
                  <w:r>
                    <w:rPr>
                      <w:sz w:val="22"/>
                    </w:rPr>
                    <w:t>в Держказначейська служба України,м. Київ</w:t>
                  </w:r>
                </w:p>
                <w:p>
                  <w:pPr>
                    <w:spacing w:after="0" w:line="240" w:lineRule="auto"/>
                    <w:rPr>
                      <w:sz w:val="24"/>
                      <w:szCs w:val="24"/>
                      <w:lang w:eastAsia="ru-RU"/>
                    </w:rPr>
                  </w:pPr>
                </w:p>
                <w:p>
                  <w:pPr>
                    <w:spacing w:after="0" w:line="240" w:lineRule="auto"/>
                    <w:rPr>
                      <w:sz w:val="24"/>
                      <w:szCs w:val="24"/>
                      <w:lang w:eastAsia="ru-RU"/>
                    </w:rPr>
                  </w:pPr>
                  <w:r>
                    <w:rPr>
                      <w:sz w:val="24"/>
                      <w:szCs w:val="24"/>
                      <w:lang w:eastAsia="ru-RU"/>
                    </w:rPr>
                    <w:t xml:space="preserve">Директор  </w:t>
                  </w:r>
                </w:p>
                <w:p>
                  <w:pPr>
                    <w:spacing w:after="0" w:line="240" w:lineRule="auto"/>
                    <w:rPr>
                      <w:sz w:val="24"/>
                      <w:szCs w:val="24"/>
                      <w:lang w:eastAsia="ru-RU"/>
                    </w:rPr>
                  </w:pPr>
                </w:p>
                <w:p>
                  <w:pPr>
                    <w:keepNext/>
                    <w:spacing w:after="0" w:line="240" w:lineRule="auto"/>
                    <w:outlineLvl w:val="2"/>
                    <w:rPr>
                      <w:sz w:val="24"/>
                      <w:szCs w:val="24"/>
                      <w:lang w:eastAsia="ru-RU"/>
                    </w:rPr>
                  </w:pPr>
                  <w:r>
                    <w:rPr>
                      <w:sz w:val="24"/>
                      <w:szCs w:val="24"/>
                      <w:lang w:eastAsia="ru-RU"/>
                    </w:rPr>
                    <w:t>_____________А.В.Биба</w:t>
                  </w:r>
                </w:p>
              </w:tc>
              <w:tc>
                <w:tcPr>
                  <w:tcW w:w="912" w:type="dxa"/>
                  <w:shd w:val="clear" w:color="auto" w:fill="auto"/>
                </w:tcPr>
                <w:p>
                  <w:pPr>
                    <w:spacing w:after="0" w:line="240" w:lineRule="auto"/>
                    <w:rPr>
                      <w:sz w:val="24"/>
                      <w:szCs w:val="24"/>
                      <w:lang w:eastAsia="ru-RU"/>
                    </w:rPr>
                  </w:pPr>
                </w:p>
                <w:p>
                  <w:pPr>
                    <w:spacing w:after="0" w:line="240" w:lineRule="auto"/>
                    <w:rPr>
                      <w:sz w:val="24"/>
                      <w:szCs w:val="24"/>
                      <w:lang w:eastAsia="ru-RU"/>
                    </w:rPr>
                  </w:pPr>
                </w:p>
              </w:tc>
            </w:tr>
          </w:tbl>
          <w:p>
            <w:pPr>
              <w:spacing w:after="0" w:line="240" w:lineRule="auto"/>
              <w:rPr>
                <w:sz w:val="24"/>
                <w:szCs w:val="24"/>
                <w:lang w:eastAsia="ru-RU"/>
              </w:rPr>
            </w:pPr>
          </w:p>
        </w:tc>
        <w:tc>
          <w:tcPr>
            <w:tcW w:w="4679" w:type="dxa"/>
            <w:shd w:val="clear" w:color="auto" w:fill="auto"/>
          </w:tcPr>
          <w:p>
            <w:pPr>
              <w:spacing w:after="0" w:line="240" w:lineRule="auto"/>
              <w:rPr>
                <w:b/>
                <w:sz w:val="24"/>
                <w:szCs w:val="24"/>
                <w:lang w:eastAsia="ru-RU"/>
              </w:rPr>
            </w:pPr>
            <w:r>
              <w:rPr>
                <w:b/>
                <w:caps/>
                <w:sz w:val="24"/>
                <w:szCs w:val="24"/>
                <w:lang w:eastAsia="ru-RU"/>
              </w:rPr>
              <w:t>Постачальник</w:t>
            </w:r>
            <w:r>
              <w:rPr>
                <w:b/>
                <w:sz w:val="24"/>
                <w:szCs w:val="24"/>
                <w:lang w:eastAsia="ru-RU"/>
              </w:rPr>
              <w:t>:</w:t>
            </w:r>
          </w:p>
          <w:p>
            <w:pPr>
              <w:spacing w:after="0" w:line="240" w:lineRule="auto"/>
              <w:rPr>
                <w:sz w:val="24"/>
                <w:szCs w:val="24"/>
                <w:lang w:eastAsia="ru-RU"/>
              </w:rPr>
            </w:pPr>
          </w:p>
        </w:tc>
      </w:tr>
    </w:tbl>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right"/>
        <w:rPr>
          <w:color w:val="000000"/>
          <w:sz w:val="22"/>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Antiqua">
    <w:altName w:val="Microsoft YaHei"/>
    <w:panose1 w:val="00000000000000000000"/>
    <w:charset w:val="00"/>
    <w:family w:val="swiss"/>
    <w:pitch w:val="default"/>
    <w:sig w:usb0="00000000" w:usb1="00000000" w:usb2="00000000" w:usb3="00000000" w:csb0="00000005" w:csb1="00000000"/>
  </w:font>
  <w:font w:name="Microsoft YaHei">
    <w:panose1 w:val="020B0503020204020204"/>
    <w:charset w:val="86"/>
    <w:family w:val="auto"/>
    <w:pitch w:val="default"/>
    <w:sig w:usb0="80000287" w:usb1="280F3C52" w:usb2="00000016" w:usb3="00000000" w:csb0="0004001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Mangal">
    <w:panose1 w:val="02040503050203030202"/>
    <w:charset w:val="00"/>
    <w:family w:val="roman"/>
    <w:pitch w:val="default"/>
    <w:sig w:usb0="00008003" w:usb1="00000000" w:usb2="00000000" w:usb3="00000000" w:csb0="00000001" w:csb1="00000000"/>
  </w:font>
  <w:font w:name="Andale Sans UI">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468F3"/>
    <w:multiLevelType w:val="multilevel"/>
    <w:tmpl w:val="017468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811E97"/>
    <w:multiLevelType w:val="multilevel"/>
    <w:tmpl w:val="20811E97"/>
    <w:lvl w:ilvl="0" w:tentative="0">
      <w:start w:val="4"/>
      <w:numFmt w:val="decimal"/>
      <w:lvlText w:val="%1."/>
      <w:lvlJc w:val="left"/>
      <w:pPr>
        <w:tabs>
          <w:tab w:val="left" w:pos="720"/>
        </w:tabs>
        <w:ind w:left="72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
    <w:nsid w:val="2B01053E"/>
    <w:multiLevelType w:val="multilevel"/>
    <w:tmpl w:val="2B01053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DB07A52"/>
    <w:multiLevelType w:val="multilevel"/>
    <w:tmpl w:val="2DB07A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2005665"/>
    <w:multiLevelType w:val="multilevel"/>
    <w:tmpl w:val="3200566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65238DC"/>
    <w:multiLevelType w:val="multilevel"/>
    <w:tmpl w:val="365238D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E11424A"/>
    <w:multiLevelType w:val="multilevel"/>
    <w:tmpl w:val="3E11424A"/>
    <w:lvl w:ilvl="0" w:tentative="0">
      <w:start w:val="19"/>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C065475"/>
    <w:multiLevelType w:val="multilevel"/>
    <w:tmpl w:val="4C06547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67B05A8"/>
    <w:multiLevelType w:val="multilevel"/>
    <w:tmpl w:val="567B05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5F5176AD"/>
    <w:multiLevelType w:val="multilevel"/>
    <w:tmpl w:val="5F5176AD"/>
    <w:lvl w:ilvl="0" w:tentative="0">
      <w:start w:val="4"/>
      <w:numFmt w:val="bullet"/>
      <w:lvlText w:val="–"/>
      <w:lvlJc w:val="left"/>
      <w:pPr>
        <w:ind w:left="900" w:hanging="360"/>
      </w:pPr>
      <w:rPr>
        <w:rFonts w:hint="default" w:ascii="Times New Roman" w:hAnsi="Times New Roman" w:eastAsia="Times New Roman" w:cs="Times New Roman"/>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10">
    <w:nsid w:val="679C1EEE"/>
    <w:multiLevelType w:val="multilevel"/>
    <w:tmpl w:val="679C1EE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78C74336"/>
    <w:multiLevelType w:val="multilevel"/>
    <w:tmpl w:val="78C743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7BFD7F6A"/>
    <w:multiLevelType w:val="multilevel"/>
    <w:tmpl w:val="7BFD7F6A"/>
    <w:lvl w:ilvl="0" w:tentative="0">
      <w:start w:val="2"/>
      <w:numFmt w:val="decimal"/>
      <w:lvlText w:val="%1."/>
      <w:lvlJc w:val="left"/>
      <w:pPr>
        <w:ind w:left="72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13">
    <w:nsid w:val="7F29205C"/>
    <w:multiLevelType w:val="multilevel"/>
    <w:tmpl w:val="7F29205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7F442EDA"/>
    <w:multiLevelType w:val="multilevel"/>
    <w:tmpl w:val="7F442EDA"/>
    <w:lvl w:ilvl="0" w:tentative="0">
      <w:start w:val="3"/>
      <w:numFmt w:val="bullet"/>
      <w:lvlText w:val="-"/>
      <w:lvlJc w:val="left"/>
      <w:pPr>
        <w:tabs>
          <w:tab w:val="left" w:pos="720"/>
        </w:tabs>
        <w:ind w:left="720" w:hanging="360"/>
      </w:pPr>
      <w:rPr>
        <w:rFonts w:hint="default"/>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0"/>
  </w:num>
  <w:num w:numId="3">
    <w:abstractNumId w:val="2"/>
  </w:num>
  <w:num w:numId="4">
    <w:abstractNumId w:val="13"/>
  </w:num>
  <w:num w:numId="5">
    <w:abstractNumId w:val="3"/>
  </w:num>
  <w:num w:numId="6">
    <w:abstractNumId w:val="4"/>
  </w:num>
  <w:num w:numId="7">
    <w:abstractNumId w:val="11"/>
  </w:num>
  <w:num w:numId="8">
    <w:abstractNumId w:val="8"/>
  </w:num>
  <w:num w:numId="9">
    <w:abstractNumId w:val="7"/>
  </w:num>
  <w:num w:numId="10">
    <w:abstractNumId w:val="10"/>
  </w:num>
  <w:num w:numId="11">
    <w:abstractNumId w:val="1"/>
  </w:num>
  <w:num w:numId="12">
    <w:abstractNumId w:val="6"/>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E9"/>
    <w:rsid w:val="00001245"/>
    <w:rsid w:val="00003BCC"/>
    <w:rsid w:val="00005221"/>
    <w:rsid w:val="00005748"/>
    <w:rsid w:val="000058B8"/>
    <w:rsid w:val="00006CC3"/>
    <w:rsid w:val="00007E43"/>
    <w:rsid w:val="000107B3"/>
    <w:rsid w:val="000109A4"/>
    <w:rsid w:val="00011A66"/>
    <w:rsid w:val="000125E5"/>
    <w:rsid w:val="00013CDA"/>
    <w:rsid w:val="00014B36"/>
    <w:rsid w:val="000153FD"/>
    <w:rsid w:val="000205E4"/>
    <w:rsid w:val="00021191"/>
    <w:rsid w:val="000235EF"/>
    <w:rsid w:val="00023B64"/>
    <w:rsid w:val="00025839"/>
    <w:rsid w:val="00026392"/>
    <w:rsid w:val="00033A15"/>
    <w:rsid w:val="00034115"/>
    <w:rsid w:val="00035A82"/>
    <w:rsid w:val="00035E6A"/>
    <w:rsid w:val="000413B5"/>
    <w:rsid w:val="0004359A"/>
    <w:rsid w:val="00043E34"/>
    <w:rsid w:val="000459C6"/>
    <w:rsid w:val="00047DA9"/>
    <w:rsid w:val="00051C9A"/>
    <w:rsid w:val="00051DB4"/>
    <w:rsid w:val="000557B6"/>
    <w:rsid w:val="00055900"/>
    <w:rsid w:val="00060569"/>
    <w:rsid w:val="000643CB"/>
    <w:rsid w:val="00067E8B"/>
    <w:rsid w:val="00072489"/>
    <w:rsid w:val="000758CB"/>
    <w:rsid w:val="000759EC"/>
    <w:rsid w:val="00077089"/>
    <w:rsid w:val="00081B20"/>
    <w:rsid w:val="000832C3"/>
    <w:rsid w:val="000832D0"/>
    <w:rsid w:val="00083885"/>
    <w:rsid w:val="0008494A"/>
    <w:rsid w:val="0008568F"/>
    <w:rsid w:val="0008648D"/>
    <w:rsid w:val="000877C7"/>
    <w:rsid w:val="00090037"/>
    <w:rsid w:val="0009016D"/>
    <w:rsid w:val="000922B4"/>
    <w:rsid w:val="00092998"/>
    <w:rsid w:val="0009339D"/>
    <w:rsid w:val="000934C5"/>
    <w:rsid w:val="00093DD1"/>
    <w:rsid w:val="000943ED"/>
    <w:rsid w:val="00094D35"/>
    <w:rsid w:val="00095047"/>
    <w:rsid w:val="00095538"/>
    <w:rsid w:val="00097D69"/>
    <w:rsid w:val="000A2349"/>
    <w:rsid w:val="000A2517"/>
    <w:rsid w:val="000A2694"/>
    <w:rsid w:val="000A269F"/>
    <w:rsid w:val="000A283E"/>
    <w:rsid w:val="000A67F3"/>
    <w:rsid w:val="000B5C0F"/>
    <w:rsid w:val="000B6CED"/>
    <w:rsid w:val="000C1B0C"/>
    <w:rsid w:val="000C281E"/>
    <w:rsid w:val="000C326F"/>
    <w:rsid w:val="000C51EA"/>
    <w:rsid w:val="000C6CB8"/>
    <w:rsid w:val="000C791E"/>
    <w:rsid w:val="000D2CA5"/>
    <w:rsid w:val="000D326A"/>
    <w:rsid w:val="000D379D"/>
    <w:rsid w:val="000D4B4D"/>
    <w:rsid w:val="000D6DC0"/>
    <w:rsid w:val="000D747F"/>
    <w:rsid w:val="000D7A52"/>
    <w:rsid w:val="000E01F6"/>
    <w:rsid w:val="000E1B61"/>
    <w:rsid w:val="000E2F06"/>
    <w:rsid w:val="000E3069"/>
    <w:rsid w:val="000E5DC8"/>
    <w:rsid w:val="000E5FF2"/>
    <w:rsid w:val="000E7D60"/>
    <w:rsid w:val="000F03A8"/>
    <w:rsid w:val="000F2872"/>
    <w:rsid w:val="000F28D0"/>
    <w:rsid w:val="000F2D2D"/>
    <w:rsid w:val="000F3B5A"/>
    <w:rsid w:val="000F3EE8"/>
    <w:rsid w:val="000F419E"/>
    <w:rsid w:val="000F4F25"/>
    <w:rsid w:val="000F5886"/>
    <w:rsid w:val="00100531"/>
    <w:rsid w:val="00102265"/>
    <w:rsid w:val="001049F7"/>
    <w:rsid w:val="0010646C"/>
    <w:rsid w:val="00111D3C"/>
    <w:rsid w:val="00113877"/>
    <w:rsid w:val="00114201"/>
    <w:rsid w:val="00114D8F"/>
    <w:rsid w:val="00116E26"/>
    <w:rsid w:val="001201D3"/>
    <w:rsid w:val="00120B5E"/>
    <w:rsid w:val="0012263B"/>
    <w:rsid w:val="00122B39"/>
    <w:rsid w:val="00123F57"/>
    <w:rsid w:val="001241F8"/>
    <w:rsid w:val="001242C1"/>
    <w:rsid w:val="0012540C"/>
    <w:rsid w:val="001268F7"/>
    <w:rsid w:val="00127CD1"/>
    <w:rsid w:val="001300B9"/>
    <w:rsid w:val="00130C65"/>
    <w:rsid w:val="00130EAA"/>
    <w:rsid w:val="001315E7"/>
    <w:rsid w:val="00131A02"/>
    <w:rsid w:val="00133357"/>
    <w:rsid w:val="0013423F"/>
    <w:rsid w:val="001364DB"/>
    <w:rsid w:val="00141A9C"/>
    <w:rsid w:val="00142701"/>
    <w:rsid w:val="00142A2D"/>
    <w:rsid w:val="00142B3F"/>
    <w:rsid w:val="00143C7E"/>
    <w:rsid w:val="0014434F"/>
    <w:rsid w:val="001460FB"/>
    <w:rsid w:val="0014702D"/>
    <w:rsid w:val="00150AE8"/>
    <w:rsid w:val="00154028"/>
    <w:rsid w:val="00156F44"/>
    <w:rsid w:val="001614EE"/>
    <w:rsid w:val="00162C2A"/>
    <w:rsid w:val="00163915"/>
    <w:rsid w:val="0016728F"/>
    <w:rsid w:val="00167ABC"/>
    <w:rsid w:val="00170D41"/>
    <w:rsid w:val="0017267D"/>
    <w:rsid w:val="00176CFA"/>
    <w:rsid w:val="001811ED"/>
    <w:rsid w:val="00182354"/>
    <w:rsid w:val="0018434C"/>
    <w:rsid w:val="0018525F"/>
    <w:rsid w:val="00185D2C"/>
    <w:rsid w:val="00186A17"/>
    <w:rsid w:val="00186E16"/>
    <w:rsid w:val="00191C51"/>
    <w:rsid w:val="00191EF3"/>
    <w:rsid w:val="00191FEB"/>
    <w:rsid w:val="001927EE"/>
    <w:rsid w:val="00196718"/>
    <w:rsid w:val="001A0A2A"/>
    <w:rsid w:val="001A1C9E"/>
    <w:rsid w:val="001A3E04"/>
    <w:rsid w:val="001A3E27"/>
    <w:rsid w:val="001A5470"/>
    <w:rsid w:val="001B0328"/>
    <w:rsid w:val="001B0537"/>
    <w:rsid w:val="001B09F2"/>
    <w:rsid w:val="001B1206"/>
    <w:rsid w:val="001B1EC7"/>
    <w:rsid w:val="001B295F"/>
    <w:rsid w:val="001B5163"/>
    <w:rsid w:val="001B5F67"/>
    <w:rsid w:val="001B70CD"/>
    <w:rsid w:val="001B7577"/>
    <w:rsid w:val="001B76A6"/>
    <w:rsid w:val="001B7CD1"/>
    <w:rsid w:val="001C03AB"/>
    <w:rsid w:val="001C3798"/>
    <w:rsid w:val="001C3B98"/>
    <w:rsid w:val="001C70A9"/>
    <w:rsid w:val="001D15C3"/>
    <w:rsid w:val="001D2F87"/>
    <w:rsid w:val="001D3870"/>
    <w:rsid w:val="001D3B0B"/>
    <w:rsid w:val="001D3EF2"/>
    <w:rsid w:val="001D643E"/>
    <w:rsid w:val="001D6957"/>
    <w:rsid w:val="001D70A6"/>
    <w:rsid w:val="001D7611"/>
    <w:rsid w:val="001E2142"/>
    <w:rsid w:val="001E2A22"/>
    <w:rsid w:val="001E3958"/>
    <w:rsid w:val="001E3AB2"/>
    <w:rsid w:val="001E40EA"/>
    <w:rsid w:val="001E417A"/>
    <w:rsid w:val="001E68B4"/>
    <w:rsid w:val="001F0129"/>
    <w:rsid w:val="001F0FAA"/>
    <w:rsid w:val="001F11C0"/>
    <w:rsid w:val="001F1DC1"/>
    <w:rsid w:val="001F1DFF"/>
    <w:rsid w:val="001F353E"/>
    <w:rsid w:val="001F4A8A"/>
    <w:rsid w:val="001F4AF9"/>
    <w:rsid w:val="001F4C34"/>
    <w:rsid w:val="001F53C4"/>
    <w:rsid w:val="001F5802"/>
    <w:rsid w:val="001F597F"/>
    <w:rsid w:val="001F5F0F"/>
    <w:rsid w:val="001F6590"/>
    <w:rsid w:val="002017DE"/>
    <w:rsid w:val="00202672"/>
    <w:rsid w:val="002077A0"/>
    <w:rsid w:val="00207FA5"/>
    <w:rsid w:val="00210EE0"/>
    <w:rsid w:val="00214D70"/>
    <w:rsid w:val="00214EE3"/>
    <w:rsid w:val="00215AFC"/>
    <w:rsid w:val="00215FFA"/>
    <w:rsid w:val="00216447"/>
    <w:rsid w:val="002214B8"/>
    <w:rsid w:val="002238F7"/>
    <w:rsid w:val="00223EF1"/>
    <w:rsid w:val="0022473E"/>
    <w:rsid w:val="002258D0"/>
    <w:rsid w:val="00225EE4"/>
    <w:rsid w:val="00226E4E"/>
    <w:rsid w:val="002322FA"/>
    <w:rsid w:val="002326A6"/>
    <w:rsid w:val="002328D2"/>
    <w:rsid w:val="00234C73"/>
    <w:rsid w:val="002355B6"/>
    <w:rsid w:val="00236765"/>
    <w:rsid w:val="002376C9"/>
    <w:rsid w:val="00240026"/>
    <w:rsid w:val="00240DE5"/>
    <w:rsid w:val="00241066"/>
    <w:rsid w:val="00241F17"/>
    <w:rsid w:val="00242FF8"/>
    <w:rsid w:val="0024451A"/>
    <w:rsid w:val="002450A2"/>
    <w:rsid w:val="002464B8"/>
    <w:rsid w:val="00246C3E"/>
    <w:rsid w:val="00247620"/>
    <w:rsid w:val="00250825"/>
    <w:rsid w:val="0025197E"/>
    <w:rsid w:val="00252BAB"/>
    <w:rsid w:val="00253112"/>
    <w:rsid w:val="00253C35"/>
    <w:rsid w:val="00255738"/>
    <w:rsid w:val="00260422"/>
    <w:rsid w:val="00262504"/>
    <w:rsid w:val="00263417"/>
    <w:rsid w:val="00265AE8"/>
    <w:rsid w:val="002661C1"/>
    <w:rsid w:val="00267262"/>
    <w:rsid w:val="002700A6"/>
    <w:rsid w:val="00271BDD"/>
    <w:rsid w:val="002731CB"/>
    <w:rsid w:val="002736E7"/>
    <w:rsid w:val="002741F2"/>
    <w:rsid w:val="00276146"/>
    <w:rsid w:val="002767E0"/>
    <w:rsid w:val="00277A98"/>
    <w:rsid w:val="00277F02"/>
    <w:rsid w:val="002800F0"/>
    <w:rsid w:val="002807FA"/>
    <w:rsid w:val="00281DC3"/>
    <w:rsid w:val="002839FB"/>
    <w:rsid w:val="00284F7A"/>
    <w:rsid w:val="00285CD5"/>
    <w:rsid w:val="00290459"/>
    <w:rsid w:val="00290BBD"/>
    <w:rsid w:val="002915ED"/>
    <w:rsid w:val="002938D2"/>
    <w:rsid w:val="00293E10"/>
    <w:rsid w:val="00294F71"/>
    <w:rsid w:val="002955D6"/>
    <w:rsid w:val="002955DE"/>
    <w:rsid w:val="0029721F"/>
    <w:rsid w:val="002A1429"/>
    <w:rsid w:val="002A2B38"/>
    <w:rsid w:val="002A4C37"/>
    <w:rsid w:val="002A50F2"/>
    <w:rsid w:val="002A62BA"/>
    <w:rsid w:val="002A7754"/>
    <w:rsid w:val="002A7ADA"/>
    <w:rsid w:val="002B0C5B"/>
    <w:rsid w:val="002B2990"/>
    <w:rsid w:val="002B35F5"/>
    <w:rsid w:val="002B461B"/>
    <w:rsid w:val="002B513C"/>
    <w:rsid w:val="002C297F"/>
    <w:rsid w:val="002C5AC3"/>
    <w:rsid w:val="002C5AE8"/>
    <w:rsid w:val="002C73BF"/>
    <w:rsid w:val="002D0CE3"/>
    <w:rsid w:val="002D1E42"/>
    <w:rsid w:val="002D2368"/>
    <w:rsid w:val="002D3198"/>
    <w:rsid w:val="002D3998"/>
    <w:rsid w:val="002D4B51"/>
    <w:rsid w:val="002E10C0"/>
    <w:rsid w:val="002E13A3"/>
    <w:rsid w:val="002E1729"/>
    <w:rsid w:val="002E17FB"/>
    <w:rsid w:val="002E2EAB"/>
    <w:rsid w:val="002E3691"/>
    <w:rsid w:val="002E54E3"/>
    <w:rsid w:val="002F1651"/>
    <w:rsid w:val="002F17CB"/>
    <w:rsid w:val="002F2040"/>
    <w:rsid w:val="002F4B60"/>
    <w:rsid w:val="002F5D06"/>
    <w:rsid w:val="002F6B3F"/>
    <w:rsid w:val="00300BBA"/>
    <w:rsid w:val="00300C6C"/>
    <w:rsid w:val="00301BF9"/>
    <w:rsid w:val="00303786"/>
    <w:rsid w:val="003042DB"/>
    <w:rsid w:val="00304647"/>
    <w:rsid w:val="00306328"/>
    <w:rsid w:val="0031060D"/>
    <w:rsid w:val="00312095"/>
    <w:rsid w:val="003124CC"/>
    <w:rsid w:val="00312BFA"/>
    <w:rsid w:val="00312CD4"/>
    <w:rsid w:val="00314877"/>
    <w:rsid w:val="003203C0"/>
    <w:rsid w:val="003204CA"/>
    <w:rsid w:val="00323507"/>
    <w:rsid w:val="003252BC"/>
    <w:rsid w:val="00327E14"/>
    <w:rsid w:val="00331147"/>
    <w:rsid w:val="00334EDC"/>
    <w:rsid w:val="00336C75"/>
    <w:rsid w:val="003400B4"/>
    <w:rsid w:val="0034155C"/>
    <w:rsid w:val="00341896"/>
    <w:rsid w:val="0034190F"/>
    <w:rsid w:val="003419F7"/>
    <w:rsid w:val="00344222"/>
    <w:rsid w:val="00344347"/>
    <w:rsid w:val="003448EA"/>
    <w:rsid w:val="00346246"/>
    <w:rsid w:val="00346ECF"/>
    <w:rsid w:val="00347341"/>
    <w:rsid w:val="00350AA2"/>
    <w:rsid w:val="00354DEC"/>
    <w:rsid w:val="00357CE9"/>
    <w:rsid w:val="00360B53"/>
    <w:rsid w:val="00362FCE"/>
    <w:rsid w:val="00371356"/>
    <w:rsid w:val="00373906"/>
    <w:rsid w:val="00374A87"/>
    <w:rsid w:val="00376530"/>
    <w:rsid w:val="0037668F"/>
    <w:rsid w:val="00376E5F"/>
    <w:rsid w:val="00377499"/>
    <w:rsid w:val="003809FB"/>
    <w:rsid w:val="00381186"/>
    <w:rsid w:val="00381724"/>
    <w:rsid w:val="003838FD"/>
    <w:rsid w:val="0038408A"/>
    <w:rsid w:val="00391AB6"/>
    <w:rsid w:val="0039425D"/>
    <w:rsid w:val="00394BE1"/>
    <w:rsid w:val="00394DA3"/>
    <w:rsid w:val="00395566"/>
    <w:rsid w:val="00395905"/>
    <w:rsid w:val="00396573"/>
    <w:rsid w:val="00396FF1"/>
    <w:rsid w:val="00397804"/>
    <w:rsid w:val="003A3654"/>
    <w:rsid w:val="003A4D39"/>
    <w:rsid w:val="003A76D4"/>
    <w:rsid w:val="003A78E9"/>
    <w:rsid w:val="003A7CAB"/>
    <w:rsid w:val="003B0833"/>
    <w:rsid w:val="003B1F60"/>
    <w:rsid w:val="003B3108"/>
    <w:rsid w:val="003B5A98"/>
    <w:rsid w:val="003B5FD9"/>
    <w:rsid w:val="003B7551"/>
    <w:rsid w:val="003B7D44"/>
    <w:rsid w:val="003C0EE9"/>
    <w:rsid w:val="003C0F0D"/>
    <w:rsid w:val="003C162B"/>
    <w:rsid w:val="003C2008"/>
    <w:rsid w:val="003C368A"/>
    <w:rsid w:val="003C3C04"/>
    <w:rsid w:val="003C4172"/>
    <w:rsid w:val="003C536D"/>
    <w:rsid w:val="003C57A8"/>
    <w:rsid w:val="003C6B04"/>
    <w:rsid w:val="003D1299"/>
    <w:rsid w:val="003D1E32"/>
    <w:rsid w:val="003D2BB9"/>
    <w:rsid w:val="003D2E80"/>
    <w:rsid w:val="003D3636"/>
    <w:rsid w:val="003D4488"/>
    <w:rsid w:val="003D4A63"/>
    <w:rsid w:val="003D4CFA"/>
    <w:rsid w:val="003D74A5"/>
    <w:rsid w:val="003D7E72"/>
    <w:rsid w:val="003E1098"/>
    <w:rsid w:val="003E21A1"/>
    <w:rsid w:val="003E22EF"/>
    <w:rsid w:val="003E2FC5"/>
    <w:rsid w:val="003E39BC"/>
    <w:rsid w:val="003E73B7"/>
    <w:rsid w:val="003F00A9"/>
    <w:rsid w:val="003F04AA"/>
    <w:rsid w:val="003F0BFE"/>
    <w:rsid w:val="003F1028"/>
    <w:rsid w:val="003F120C"/>
    <w:rsid w:val="003F25F8"/>
    <w:rsid w:val="003F3CDE"/>
    <w:rsid w:val="003F4132"/>
    <w:rsid w:val="003F4D1B"/>
    <w:rsid w:val="003F6596"/>
    <w:rsid w:val="00404267"/>
    <w:rsid w:val="0040549D"/>
    <w:rsid w:val="00407F2A"/>
    <w:rsid w:val="00407FE9"/>
    <w:rsid w:val="00407FF5"/>
    <w:rsid w:val="00412101"/>
    <w:rsid w:val="004124CF"/>
    <w:rsid w:val="00420B27"/>
    <w:rsid w:val="00421139"/>
    <w:rsid w:val="00421A51"/>
    <w:rsid w:val="0042269F"/>
    <w:rsid w:val="00423E68"/>
    <w:rsid w:val="004259AE"/>
    <w:rsid w:val="0042627C"/>
    <w:rsid w:val="004268E2"/>
    <w:rsid w:val="00430429"/>
    <w:rsid w:val="0043129B"/>
    <w:rsid w:val="00432E77"/>
    <w:rsid w:val="00435647"/>
    <w:rsid w:val="00435FA6"/>
    <w:rsid w:val="00436222"/>
    <w:rsid w:val="00437180"/>
    <w:rsid w:val="00437F17"/>
    <w:rsid w:val="0044459E"/>
    <w:rsid w:val="00444D48"/>
    <w:rsid w:val="004470AA"/>
    <w:rsid w:val="00447E05"/>
    <w:rsid w:val="00450504"/>
    <w:rsid w:val="00450509"/>
    <w:rsid w:val="004523DD"/>
    <w:rsid w:val="00454EB5"/>
    <w:rsid w:val="00455A74"/>
    <w:rsid w:val="00456C36"/>
    <w:rsid w:val="00460A3E"/>
    <w:rsid w:val="00461BF2"/>
    <w:rsid w:val="00462347"/>
    <w:rsid w:val="004635B6"/>
    <w:rsid w:val="004643D3"/>
    <w:rsid w:val="004659FB"/>
    <w:rsid w:val="0047135D"/>
    <w:rsid w:val="00477BBF"/>
    <w:rsid w:val="00480E84"/>
    <w:rsid w:val="00481501"/>
    <w:rsid w:val="00483630"/>
    <w:rsid w:val="00484DE2"/>
    <w:rsid w:val="004857EC"/>
    <w:rsid w:val="00485E5B"/>
    <w:rsid w:val="004863CB"/>
    <w:rsid w:val="00486A9E"/>
    <w:rsid w:val="00486E1C"/>
    <w:rsid w:val="004878DD"/>
    <w:rsid w:val="00490EB2"/>
    <w:rsid w:val="0049170B"/>
    <w:rsid w:val="00491FB2"/>
    <w:rsid w:val="004934E8"/>
    <w:rsid w:val="00493D15"/>
    <w:rsid w:val="004940B9"/>
    <w:rsid w:val="0049487C"/>
    <w:rsid w:val="00495689"/>
    <w:rsid w:val="004A03DD"/>
    <w:rsid w:val="004A56A4"/>
    <w:rsid w:val="004A5A7D"/>
    <w:rsid w:val="004A71B1"/>
    <w:rsid w:val="004A77C9"/>
    <w:rsid w:val="004A78AD"/>
    <w:rsid w:val="004A78B5"/>
    <w:rsid w:val="004B127A"/>
    <w:rsid w:val="004B153A"/>
    <w:rsid w:val="004B21C1"/>
    <w:rsid w:val="004B278B"/>
    <w:rsid w:val="004B2883"/>
    <w:rsid w:val="004B48A2"/>
    <w:rsid w:val="004B52C8"/>
    <w:rsid w:val="004B52D6"/>
    <w:rsid w:val="004B5AA4"/>
    <w:rsid w:val="004B5DE6"/>
    <w:rsid w:val="004C052C"/>
    <w:rsid w:val="004C25DC"/>
    <w:rsid w:val="004C26EC"/>
    <w:rsid w:val="004C2A3D"/>
    <w:rsid w:val="004C455B"/>
    <w:rsid w:val="004C52DC"/>
    <w:rsid w:val="004C5614"/>
    <w:rsid w:val="004C5C4C"/>
    <w:rsid w:val="004D062D"/>
    <w:rsid w:val="004D2186"/>
    <w:rsid w:val="004D3423"/>
    <w:rsid w:val="004D39B5"/>
    <w:rsid w:val="004D5A25"/>
    <w:rsid w:val="004D78CE"/>
    <w:rsid w:val="004E0FB6"/>
    <w:rsid w:val="004E1093"/>
    <w:rsid w:val="004E22B0"/>
    <w:rsid w:val="004E27BB"/>
    <w:rsid w:val="004E381C"/>
    <w:rsid w:val="004E4213"/>
    <w:rsid w:val="004E5A83"/>
    <w:rsid w:val="004E6A32"/>
    <w:rsid w:val="004E7842"/>
    <w:rsid w:val="004E7FD9"/>
    <w:rsid w:val="004F225B"/>
    <w:rsid w:val="004F272B"/>
    <w:rsid w:val="004F2B46"/>
    <w:rsid w:val="004F3B63"/>
    <w:rsid w:val="004F4E62"/>
    <w:rsid w:val="004F6583"/>
    <w:rsid w:val="004F71D4"/>
    <w:rsid w:val="004F7A39"/>
    <w:rsid w:val="005007CF"/>
    <w:rsid w:val="00500D3B"/>
    <w:rsid w:val="00511021"/>
    <w:rsid w:val="00512084"/>
    <w:rsid w:val="005149E9"/>
    <w:rsid w:val="005172A8"/>
    <w:rsid w:val="00520BA6"/>
    <w:rsid w:val="00520EFD"/>
    <w:rsid w:val="005235AE"/>
    <w:rsid w:val="005250F8"/>
    <w:rsid w:val="00526302"/>
    <w:rsid w:val="005275A5"/>
    <w:rsid w:val="0053095F"/>
    <w:rsid w:val="00532FAD"/>
    <w:rsid w:val="005334DF"/>
    <w:rsid w:val="00535EAE"/>
    <w:rsid w:val="00541C87"/>
    <w:rsid w:val="00541D9C"/>
    <w:rsid w:val="00544EAB"/>
    <w:rsid w:val="005504C2"/>
    <w:rsid w:val="00554856"/>
    <w:rsid w:val="005558D4"/>
    <w:rsid w:val="00561378"/>
    <w:rsid w:val="0056218F"/>
    <w:rsid w:val="00563B1F"/>
    <w:rsid w:val="00563B92"/>
    <w:rsid w:val="005667B5"/>
    <w:rsid w:val="00567638"/>
    <w:rsid w:val="00567A4E"/>
    <w:rsid w:val="00570CC1"/>
    <w:rsid w:val="005717FB"/>
    <w:rsid w:val="005718B7"/>
    <w:rsid w:val="00571B16"/>
    <w:rsid w:val="005721A4"/>
    <w:rsid w:val="005748E0"/>
    <w:rsid w:val="00574AB8"/>
    <w:rsid w:val="00575505"/>
    <w:rsid w:val="00577818"/>
    <w:rsid w:val="00577D9C"/>
    <w:rsid w:val="00581C48"/>
    <w:rsid w:val="00583FF4"/>
    <w:rsid w:val="00584913"/>
    <w:rsid w:val="00584A95"/>
    <w:rsid w:val="00585B4D"/>
    <w:rsid w:val="0058771E"/>
    <w:rsid w:val="00593D5C"/>
    <w:rsid w:val="00595427"/>
    <w:rsid w:val="00595610"/>
    <w:rsid w:val="005965EE"/>
    <w:rsid w:val="0059741C"/>
    <w:rsid w:val="005A1CBB"/>
    <w:rsid w:val="005A2321"/>
    <w:rsid w:val="005A319A"/>
    <w:rsid w:val="005A3563"/>
    <w:rsid w:val="005A4D60"/>
    <w:rsid w:val="005A7254"/>
    <w:rsid w:val="005A7554"/>
    <w:rsid w:val="005A75AE"/>
    <w:rsid w:val="005B0ECC"/>
    <w:rsid w:val="005B2B3F"/>
    <w:rsid w:val="005B613F"/>
    <w:rsid w:val="005C04F9"/>
    <w:rsid w:val="005C0AD3"/>
    <w:rsid w:val="005C2D79"/>
    <w:rsid w:val="005C33C0"/>
    <w:rsid w:val="005C3710"/>
    <w:rsid w:val="005C4254"/>
    <w:rsid w:val="005C461B"/>
    <w:rsid w:val="005C532C"/>
    <w:rsid w:val="005C5672"/>
    <w:rsid w:val="005D1CE0"/>
    <w:rsid w:val="005D2CC5"/>
    <w:rsid w:val="005D3F1F"/>
    <w:rsid w:val="005D6135"/>
    <w:rsid w:val="005E044E"/>
    <w:rsid w:val="005E102B"/>
    <w:rsid w:val="005E25C1"/>
    <w:rsid w:val="005E261C"/>
    <w:rsid w:val="005E2D30"/>
    <w:rsid w:val="005E2E39"/>
    <w:rsid w:val="005E4333"/>
    <w:rsid w:val="005E5005"/>
    <w:rsid w:val="005E63B3"/>
    <w:rsid w:val="005E7E56"/>
    <w:rsid w:val="005F17EB"/>
    <w:rsid w:val="005F1C52"/>
    <w:rsid w:val="005F2668"/>
    <w:rsid w:val="005F280D"/>
    <w:rsid w:val="005F70E8"/>
    <w:rsid w:val="006003C2"/>
    <w:rsid w:val="00600532"/>
    <w:rsid w:val="00601509"/>
    <w:rsid w:val="0060291F"/>
    <w:rsid w:val="00607FA2"/>
    <w:rsid w:val="00614D7C"/>
    <w:rsid w:val="006155E1"/>
    <w:rsid w:val="00616EDF"/>
    <w:rsid w:val="006204B8"/>
    <w:rsid w:val="00620B21"/>
    <w:rsid w:val="00620BB1"/>
    <w:rsid w:val="00621CAA"/>
    <w:rsid w:val="00623351"/>
    <w:rsid w:val="006261F4"/>
    <w:rsid w:val="00627776"/>
    <w:rsid w:val="00630803"/>
    <w:rsid w:val="00631BB7"/>
    <w:rsid w:val="006322AB"/>
    <w:rsid w:val="00633AF7"/>
    <w:rsid w:val="00634A33"/>
    <w:rsid w:val="00635C07"/>
    <w:rsid w:val="00635CE8"/>
    <w:rsid w:val="006409C4"/>
    <w:rsid w:val="00642082"/>
    <w:rsid w:val="006428EF"/>
    <w:rsid w:val="006437D0"/>
    <w:rsid w:val="006447A3"/>
    <w:rsid w:val="00644D15"/>
    <w:rsid w:val="00647EE7"/>
    <w:rsid w:val="00650EC6"/>
    <w:rsid w:val="00653FC4"/>
    <w:rsid w:val="006614DA"/>
    <w:rsid w:val="0066498C"/>
    <w:rsid w:val="00664F27"/>
    <w:rsid w:val="00665D7A"/>
    <w:rsid w:val="00666463"/>
    <w:rsid w:val="006669D0"/>
    <w:rsid w:val="00667FF6"/>
    <w:rsid w:val="0067012F"/>
    <w:rsid w:val="00672FE5"/>
    <w:rsid w:val="00673598"/>
    <w:rsid w:val="0067495E"/>
    <w:rsid w:val="00674976"/>
    <w:rsid w:val="006768CA"/>
    <w:rsid w:val="00677DCD"/>
    <w:rsid w:val="00680806"/>
    <w:rsid w:val="00680ED1"/>
    <w:rsid w:val="00683323"/>
    <w:rsid w:val="00683826"/>
    <w:rsid w:val="0068454B"/>
    <w:rsid w:val="00687773"/>
    <w:rsid w:val="00687AC8"/>
    <w:rsid w:val="00687C43"/>
    <w:rsid w:val="00690941"/>
    <w:rsid w:val="00692EDC"/>
    <w:rsid w:val="00695224"/>
    <w:rsid w:val="00696F18"/>
    <w:rsid w:val="006A1EBB"/>
    <w:rsid w:val="006A2DF4"/>
    <w:rsid w:val="006A683A"/>
    <w:rsid w:val="006B0AA7"/>
    <w:rsid w:val="006B1784"/>
    <w:rsid w:val="006B1880"/>
    <w:rsid w:val="006B6B36"/>
    <w:rsid w:val="006C00CE"/>
    <w:rsid w:val="006C330C"/>
    <w:rsid w:val="006C489E"/>
    <w:rsid w:val="006C70BF"/>
    <w:rsid w:val="006C714C"/>
    <w:rsid w:val="006D09A5"/>
    <w:rsid w:val="006D4C10"/>
    <w:rsid w:val="006D57D9"/>
    <w:rsid w:val="006D5BDC"/>
    <w:rsid w:val="006D5C4D"/>
    <w:rsid w:val="006D6578"/>
    <w:rsid w:val="006D683A"/>
    <w:rsid w:val="006D7FB2"/>
    <w:rsid w:val="006E0877"/>
    <w:rsid w:val="006E0B7E"/>
    <w:rsid w:val="006E1ADA"/>
    <w:rsid w:val="006E210B"/>
    <w:rsid w:val="006E24A0"/>
    <w:rsid w:val="006E38F5"/>
    <w:rsid w:val="006E571F"/>
    <w:rsid w:val="006E639C"/>
    <w:rsid w:val="006F30F8"/>
    <w:rsid w:val="006F4E47"/>
    <w:rsid w:val="006F6590"/>
    <w:rsid w:val="006F6AF7"/>
    <w:rsid w:val="007030A3"/>
    <w:rsid w:val="0070376D"/>
    <w:rsid w:val="00706EC0"/>
    <w:rsid w:val="00707DEC"/>
    <w:rsid w:val="00712A37"/>
    <w:rsid w:val="00715626"/>
    <w:rsid w:val="00717293"/>
    <w:rsid w:val="007178A4"/>
    <w:rsid w:val="007200AD"/>
    <w:rsid w:val="00720182"/>
    <w:rsid w:val="0072038F"/>
    <w:rsid w:val="00722066"/>
    <w:rsid w:val="00722590"/>
    <w:rsid w:val="00734151"/>
    <w:rsid w:val="007346D3"/>
    <w:rsid w:val="0073647B"/>
    <w:rsid w:val="0073665F"/>
    <w:rsid w:val="00736A5C"/>
    <w:rsid w:val="00737E3B"/>
    <w:rsid w:val="00741484"/>
    <w:rsid w:val="0074203D"/>
    <w:rsid w:val="007466C8"/>
    <w:rsid w:val="007472AA"/>
    <w:rsid w:val="0075294B"/>
    <w:rsid w:val="00752979"/>
    <w:rsid w:val="00753240"/>
    <w:rsid w:val="00753431"/>
    <w:rsid w:val="00753CBB"/>
    <w:rsid w:val="007543DA"/>
    <w:rsid w:val="00754E6C"/>
    <w:rsid w:val="00754E70"/>
    <w:rsid w:val="0075515B"/>
    <w:rsid w:val="007564A8"/>
    <w:rsid w:val="007575F1"/>
    <w:rsid w:val="0076141E"/>
    <w:rsid w:val="007618F4"/>
    <w:rsid w:val="007622F5"/>
    <w:rsid w:val="007624F4"/>
    <w:rsid w:val="00764026"/>
    <w:rsid w:val="007654DC"/>
    <w:rsid w:val="0076550B"/>
    <w:rsid w:val="00765840"/>
    <w:rsid w:val="00765CA6"/>
    <w:rsid w:val="007662E3"/>
    <w:rsid w:val="0076632C"/>
    <w:rsid w:val="00766D6B"/>
    <w:rsid w:val="0076741F"/>
    <w:rsid w:val="00767649"/>
    <w:rsid w:val="00770E2B"/>
    <w:rsid w:val="00772EAD"/>
    <w:rsid w:val="00773190"/>
    <w:rsid w:val="00774719"/>
    <w:rsid w:val="007752CD"/>
    <w:rsid w:val="0078143D"/>
    <w:rsid w:val="00781C19"/>
    <w:rsid w:val="00781C79"/>
    <w:rsid w:val="00781E3E"/>
    <w:rsid w:val="0078442F"/>
    <w:rsid w:val="00784C40"/>
    <w:rsid w:val="00784D8B"/>
    <w:rsid w:val="00785C14"/>
    <w:rsid w:val="0078636A"/>
    <w:rsid w:val="00790F30"/>
    <w:rsid w:val="00791F23"/>
    <w:rsid w:val="00792AF6"/>
    <w:rsid w:val="00792B53"/>
    <w:rsid w:val="00794367"/>
    <w:rsid w:val="007965F2"/>
    <w:rsid w:val="00797805"/>
    <w:rsid w:val="007A0B6A"/>
    <w:rsid w:val="007A12A6"/>
    <w:rsid w:val="007A43CC"/>
    <w:rsid w:val="007A5554"/>
    <w:rsid w:val="007A5671"/>
    <w:rsid w:val="007A6012"/>
    <w:rsid w:val="007A6B82"/>
    <w:rsid w:val="007A7679"/>
    <w:rsid w:val="007A7D06"/>
    <w:rsid w:val="007B03A7"/>
    <w:rsid w:val="007B2CA4"/>
    <w:rsid w:val="007B3068"/>
    <w:rsid w:val="007B44FD"/>
    <w:rsid w:val="007B60F8"/>
    <w:rsid w:val="007B6ED7"/>
    <w:rsid w:val="007C0738"/>
    <w:rsid w:val="007C2895"/>
    <w:rsid w:val="007C2ED0"/>
    <w:rsid w:val="007C314B"/>
    <w:rsid w:val="007C5021"/>
    <w:rsid w:val="007C54E0"/>
    <w:rsid w:val="007C6A86"/>
    <w:rsid w:val="007C7C36"/>
    <w:rsid w:val="007D261D"/>
    <w:rsid w:val="007D263B"/>
    <w:rsid w:val="007D3AA9"/>
    <w:rsid w:val="007D44EC"/>
    <w:rsid w:val="007D4D69"/>
    <w:rsid w:val="007D55BA"/>
    <w:rsid w:val="007D62D2"/>
    <w:rsid w:val="007E0101"/>
    <w:rsid w:val="007E0563"/>
    <w:rsid w:val="007E0C7C"/>
    <w:rsid w:val="007E1B6C"/>
    <w:rsid w:val="007E1DE4"/>
    <w:rsid w:val="007E1E7C"/>
    <w:rsid w:val="007E2899"/>
    <w:rsid w:val="007E39FC"/>
    <w:rsid w:val="007E42CA"/>
    <w:rsid w:val="007E458B"/>
    <w:rsid w:val="007E5253"/>
    <w:rsid w:val="007E6407"/>
    <w:rsid w:val="007E6683"/>
    <w:rsid w:val="007E66D6"/>
    <w:rsid w:val="007E75C7"/>
    <w:rsid w:val="007F052A"/>
    <w:rsid w:val="007F0724"/>
    <w:rsid w:val="007F270C"/>
    <w:rsid w:val="007F2B0A"/>
    <w:rsid w:val="007F3176"/>
    <w:rsid w:val="007F4FFF"/>
    <w:rsid w:val="007F63EA"/>
    <w:rsid w:val="007F6BE3"/>
    <w:rsid w:val="00800021"/>
    <w:rsid w:val="00800F43"/>
    <w:rsid w:val="00801565"/>
    <w:rsid w:val="008021C2"/>
    <w:rsid w:val="0080316E"/>
    <w:rsid w:val="0080557D"/>
    <w:rsid w:val="00806597"/>
    <w:rsid w:val="00810BFA"/>
    <w:rsid w:val="008143D9"/>
    <w:rsid w:val="00814F63"/>
    <w:rsid w:val="008156B9"/>
    <w:rsid w:val="008164AA"/>
    <w:rsid w:val="00817A1B"/>
    <w:rsid w:val="00817C84"/>
    <w:rsid w:val="00820337"/>
    <w:rsid w:val="00820389"/>
    <w:rsid w:val="0082243B"/>
    <w:rsid w:val="0082256E"/>
    <w:rsid w:val="008237D8"/>
    <w:rsid w:val="008237EA"/>
    <w:rsid w:val="0083106F"/>
    <w:rsid w:val="0083168C"/>
    <w:rsid w:val="00831CBC"/>
    <w:rsid w:val="00832FE2"/>
    <w:rsid w:val="00835B3A"/>
    <w:rsid w:val="00837607"/>
    <w:rsid w:val="00840BAE"/>
    <w:rsid w:val="00840F29"/>
    <w:rsid w:val="008410A4"/>
    <w:rsid w:val="00841F14"/>
    <w:rsid w:val="00843524"/>
    <w:rsid w:val="00843A99"/>
    <w:rsid w:val="00844976"/>
    <w:rsid w:val="00844E16"/>
    <w:rsid w:val="00845F26"/>
    <w:rsid w:val="00850382"/>
    <w:rsid w:val="008515D3"/>
    <w:rsid w:val="00852029"/>
    <w:rsid w:val="00854DF4"/>
    <w:rsid w:val="008551D9"/>
    <w:rsid w:val="00855961"/>
    <w:rsid w:val="0086040F"/>
    <w:rsid w:val="00862047"/>
    <w:rsid w:val="0086681D"/>
    <w:rsid w:val="0087048F"/>
    <w:rsid w:val="00871C63"/>
    <w:rsid w:val="00872008"/>
    <w:rsid w:val="00872526"/>
    <w:rsid w:val="00873929"/>
    <w:rsid w:val="00874634"/>
    <w:rsid w:val="00874684"/>
    <w:rsid w:val="00876244"/>
    <w:rsid w:val="00876C9B"/>
    <w:rsid w:val="008834C4"/>
    <w:rsid w:val="008835BE"/>
    <w:rsid w:val="0088419D"/>
    <w:rsid w:val="00884CCC"/>
    <w:rsid w:val="00884F0A"/>
    <w:rsid w:val="00885204"/>
    <w:rsid w:val="00886DF1"/>
    <w:rsid w:val="0089053B"/>
    <w:rsid w:val="00892C8D"/>
    <w:rsid w:val="00892E99"/>
    <w:rsid w:val="00893340"/>
    <w:rsid w:val="0089394B"/>
    <w:rsid w:val="00893A56"/>
    <w:rsid w:val="00893C27"/>
    <w:rsid w:val="0089603F"/>
    <w:rsid w:val="008A06B8"/>
    <w:rsid w:val="008A4484"/>
    <w:rsid w:val="008A59D6"/>
    <w:rsid w:val="008A5C75"/>
    <w:rsid w:val="008B0229"/>
    <w:rsid w:val="008B0B26"/>
    <w:rsid w:val="008B0DD8"/>
    <w:rsid w:val="008B19FE"/>
    <w:rsid w:val="008B27C8"/>
    <w:rsid w:val="008B46F5"/>
    <w:rsid w:val="008B47A0"/>
    <w:rsid w:val="008B4D31"/>
    <w:rsid w:val="008B6FEF"/>
    <w:rsid w:val="008C1F81"/>
    <w:rsid w:val="008C5239"/>
    <w:rsid w:val="008C57C9"/>
    <w:rsid w:val="008C6D97"/>
    <w:rsid w:val="008D0BD1"/>
    <w:rsid w:val="008D1B12"/>
    <w:rsid w:val="008D37F6"/>
    <w:rsid w:val="008D4DAE"/>
    <w:rsid w:val="008D6F89"/>
    <w:rsid w:val="008E0A8E"/>
    <w:rsid w:val="008E1B84"/>
    <w:rsid w:val="008E1CB1"/>
    <w:rsid w:val="008E2CE6"/>
    <w:rsid w:val="008E2D7B"/>
    <w:rsid w:val="008E4776"/>
    <w:rsid w:val="008E5F2F"/>
    <w:rsid w:val="008E646F"/>
    <w:rsid w:val="008E7730"/>
    <w:rsid w:val="008F69C6"/>
    <w:rsid w:val="008F6DB8"/>
    <w:rsid w:val="00901D2A"/>
    <w:rsid w:val="009032C0"/>
    <w:rsid w:val="00903F45"/>
    <w:rsid w:val="00904E57"/>
    <w:rsid w:val="00905F56"/>
    <w:rsid w:val="00910E25"/>
    <w:rsid w:val="009112B4"/>
    <w:rsid w:val="00911714"/>
    <w:rsid w:val="0091208B"/>
    <w:rsid w:val="00912FEA"/>
    <w:rsid w:val="0091305E"/>
    <w:rsid w:val="0091435D"/>
    <w:rsid w:val="00914A7C"/>
    <w:rsid w:val="00915844"/>
    <w:rsid w:val="00915A2E"/>
    <w:rsid w:val="00915D91"/>
    <w:rsid w:val="0091617C"/>
    <w:rsid w:val="00917DA2"/>
    <w:rsid w:val="00921FA7"/>
    <w:rsid w:val="009220BA"/>
    <w:rsid w:val="0092478A"/>
    <w:rsid w:val="009257EA"/>
    <w:rsid w:val="00926064"/>
    <w:rsid w:val="00926246"/>
    <w:rsid w:val="0093091A"/>
    <w:rsid w:val="00930A43"/>
    <w:rsid w:val="009332B8"/>
    <w:rsid w:val="009334D1"/>
    <w:rsid w:val="009337B8"/>
    <w:rsid w:val="00933BC3"/>
    <w:rsid w:val="00935181"/>
    <w:rsid w:val="00937A2B"/>
    <w:rsid w:val="00940049"/>
    <w:rsid w:val="0094200E"/>
    <w:rsid w:val="0094403B"/>
    <w:rsid w:val="00950056"/>
    <w:rsid w:val="0095024F"/>
    <w:rsid w:val="00953606"/>
    <w:rsid w:val="0095372E"/>
    <w:rsid w:val="00953D4A"/>
    <w:rsid w:val="00954366"/>
    <w:rsid w:val="0095689E"/>
    <w:rsid w:val="00957162"/>
    <w:rsid w:val="00960387"/>
    <w:rsid w:val="009603AD"/>
    <w:rsid w:val="00961051"/>
    <w:rsid w:val="00963B08"/>
    <w:rsid w:val="00963E71"/>
    <w:rsid w:val="00964C65"/>
    <w:rsid w:val="00965236"/>
    <w:rsid w:val="00966AD8"/>
    <w:rsid w:val="0097042A"/>
    <w:rsid w:val="0097088E"/>
    <w:rsid w:val="00971A1E"/>
    <w:rsid w:val="00972499"/>
    <w:rsid w:val="0097546A"/>
    <w:rsid w:val="00976A78"/>
    <w:rsid w:val="009776AE"/>
    <w:rsid w:val="009815D8"/>
    <w:rsid w:val="009828C7"/>
    <w:rsid w:val="009848FF"/>
    <w:rsid w:val="00984BB9"/>
    <w:rsid w:val="009862BF"/>
    <w:rsid w:val="0099184B"/>
    <w:rsid w:val="00994F22"/>
    <w:rsid w:val="00995695"/>
    <w:rsid w:val="00995AFC"/>
    <w:rsid w:val="009A09D2"/>
    <w:rsid w:val="009A1E79"/>
    <w:rsid w:val="009A34C4"/>
    <w:rsid w:val="009A6B68"/>
    <w:rsid w:val="009B129B"/>
    <w:rsid w:val="009B4DB0"/>
    <w:rsid w:val="009C03DB"/>
    <w:rsid w:val="009C1129"/>
    <w:rsid w:val="009C1459"/>
    <w:rsid w:val="009C145B"/>
    <w:rsid w:val="009C2ABB"/>
    <w:rsid w:val="009C2B7C"/>
    <w:rsid w:val="009C3BDE"/>
    <w:rsid w:val="009C6578"/>
    <w:rsid w:val="009C6F8F"/>
    <w:rsid w:val="009D029E"/>
    <w:rsid w:val="009D18FC"/>
    <w:rsid w:val="009D2C70"/>
    <w:rsid w:val="009D7560"/>
    <w:rsid w:val="009E031A"/>
    <w:rsid w:val="009E1CC7"/>
    <w:rsid w:val="009E1CD1"/>
    <w:rsid w:val="009E20BA"/>
    <w:rsid w:val="009E3D7C"/>
    <w:rsid w:val="009E4309"/>
    <w:rsid w:val="009E4A2B"/>
    <w:rsid w:val="009E4BEC"/>
    <w:rsid w:val="009E4EC2"/>
    <w:rsid w:val="009E54B4"/>
    <w:rsid w:val="009E5E2A"/>
    <w:rsid w:val="009E63BB"/>
    <w:rsid w:val="009E68F6"/>
    <w:rsid w:val="009E6D63"/>
    <w:rsid w:val="009E7814"/>
    <w:rsid w:val="009E7C3C"/>
    <w:rsid w:val="009F2EDE"/>
    <w:rsid w:val="009F3ADF"/>
    <w:rsid w:val="009F4826"/>
    <w:rsid w:val="009F5D51"/>
    <w:rsid w:val="009F63EC"/>
    <w:rsid w:val="009F6A3D"/>
    <w:rsid w:val="009F75A1"/>
    <w:rsid w:val="00A000C9"/>
    <w:rsid w:val="00A03599"/>
    <w:rsid w:val="00A03889"/>
    <w:rsid w:val="00A043F9"/>
    <w:rsid w:val="00A04C93"/>
    <w:rsid w:val="00A04F35"/>
    <w:rsid w:val="00A058D3"/>
    <w:rsid w:val="00A07D02"/>
    <w:rsid w:val="00A1017B"/>
    <w:rsid w:val="00A12098"/>
    <w:rsid w:val="00A12810"/>
    <w:rsid w:val="00A13057"/>
    <w:rsid w:val="00A131CC"/>
    <w:rsid w:val="00A13C9D"/>
    <w:rsid w:val="00A16700"/>
    <w:rsid w:val="00A16725"/>
    <w:rsid w:val="00A205C2"/>
    <w:rsid w:val="00A21189"/>
    <w:rsid w:val="00A25906"/>
    <w:rsid w:val="00A27163"/>
    <w:rsid w:val="00A273C6"/>
    <w:rsid w:val="00A273DF"/>
    <w:rsid w:val="00A30BCE"/>
    <w:rsid w:val="00A31B33"/>
    <w:rsid w:val="00A32D07"/>
    <w:rsid w:val="00A33433"/>
    <w:rsid w:val="00A33A7D"/>
    <w:rsid w:val="00A3594D"/>
    <w:rsid w:val="00A3602D"/>
    <w:rsid w:val="00A36C9C"/>
    <w:rsid w:val="00A37867"/>
    <w:rsid w:val="00A41526"/>
    <w:rsid w:val="00A41F65"/>
    <w:rsid w:val="00A41FB5"/>
    <w:rsid w:val="00A42661"/>
    <w:rsid w:val="00A43B5E"/>
    <w:rsid w:val="00A443E8"/>
    <w:rsid w:val="00A4441D"/>
    <w:rsid w:val="00A510F7"/>
    <w:rsid w:val="00A53604"/>
    <w:rsid w:val="00A538FD"/>
    <w:rsid w:val="00A539D2"/>
    <w:rsid w:val="00A54071"/>
    <w:rsid w:val="00A61D3F"/>
    <w:rsid w:val="00A6274F"/>
    <w:rsid w:val="00A62D73"/>
    <w:rsid w:val="00A6471D"/>
    <w:rsid w:val="00A64BED"/>
    <w:rsid w:val="00A64DB1"/>
    <w:rsid w:val="00A65E38"/>
    <w:rsid w:val="00A65F6B"/>
    <w:rsid w:val="00A66EF4"/>
    <w:rsid w:val="00A67622"/>
    <w:rsid w:val="00A7011B"/>
    <w:rsid w:val="00A72294"/>
    <w:rsid w:val="00A72D07"/>
    <w:rsid w:val="00A73370"/>
    <w:rsid w:val="00A745E1"/>
    <w:rsid w:val="00A74A9F"/>
    <w:rsid w:val="00A75204"/>
    <w:rsid w:val="00A7624A"/>
    <w:rsid w:val="00A807FC"/>
    <w:rsid w:val="00A82615"/>
    <w:rsid w:val="00A826E4"/>
    <w:rsid w:val="00A83D40"/>
    <w:rsid w:val="00A841F4"/>
    <w:rsid w:val="00A85AF1"/>
    <w:rsid w:val="00A87313"/>
    <w:rsid w:val="00A930C5"/>
    <w:rsid w:val="00A94E6A"/>
    <w:rsid w:val="00A96787"/>
    <w:rsid w:val="00A97E30"/>
    <w:rsid w:val="00AA0B67"/>
    <w:rsid w:val="00AA0E07"/>
    <w:rsid w:val="00AA11EE"/>
    <w:rsid w:val="00AA1FC9"/>
    <w:rsid w:val="00AA26A7"/>
    <w:rsid w:val="00AA49E4"/>
    <w:rsid w:val="00AA60C9"/>
    <w:rsid w:val="00AA7589"/>
    <w:rsid w:val="00AB1521"/>
    <w:rsid w:val="00AB1BAA"/>
    <w:rsid w:val="00AB2089"/>
    <w:rsid w:val="00AB20BB"/>
    <w:rsid w:val="00AB3023"/>
    <w:rsid w:val="00AB324B"/>
    <w:rsid w:val="00AB42A3"/>
    <w:rsid w:val="00AB78C8"/>
    <w:rsid w:val="00AC1761"/>
    <w:rsid w:val="00AC4914"/>
    <w:rsid w:val="00AC4A8F"/>
    <w:rsid w:val="00AC713E"/>
    <w:rsid w:val="00AD073B"/>
    <w:rsid w:val="00AD1C3C"/>
    <w:rsid w:val="00AD4660"/>
    <w:rsid w:val="00AD4FE5"/>
    <w:rsid w:val="00AD59B5"/>
    <w:rsid w:val="00AD7AA4"/>
    <w:rsid w:val="00AE0062"/>
    <w:rsid w:val="00AE0F5E"/>
    <w:rsid w:val="00AE0FFF"/>
    <w:rsid w:val="00AE1992"/>
    <w:rsid w:val="00AE3B98"/>
    <w:rsid w:val="00AE767D"/>
    <w:rsid w:val="00AF21C9"/>
    <w:rsid w:val="00AF48D8"/>
    <w:rsid w:val="00AF564A"/>
    <w:rsid w:val="00AF6351"/>
    <w:rsid w:val="00B0021D"/>
    <w:rsid w:val="00B03A8F"/>
    <w:rsid w:val="00B03BB3"/>
    <w:rsid w:val="00B045D2"/>
    <w:rsid w:val="00B048DC"/>
    <w:rsid w:val="00B050DA"/>
    <w:rsid w:val="00B0571F"/>
    <w:rsid w:val="00B061F7"/>
    <w:rsid w:val="00B06883"/>
    <w:rsid w:val="00B073D6"/>
    <w:rsid w:val="00B10084"/>
    <w:rsid w:val="00B10A41"/>
    <w:rsid w:val="00B111F9"/>
    <w:rsid w:val="00B1229C"/>
    <w:rsid w:val="00B13AF8"/>
    <w:rsid w:val="00B14123"/>
    <w:rsid w:val="00B20059"/>
    <w:rsid w:val="00B2029D"/>
    <w:rsid w:val="00B21D4E"/>
    <w:rsid w:val="00B22C26"/>
    <w:rsid w:val="00B22FF7"/>
    <w:rsid w:val="00B239B7"/>
    <w:rsid w:val="00B240AF"/>
    <w:rsid w:val="00B242F8"/>
    <w:rsid w:val="00B25605"/>
    <w:rsid w:val="00B277F4"/>
    <w:rsid w:val="00B279E8"/>
    <w:rsid w:val="00B27BE5"/>
    <w:rsid w:val="00B31869"/>
    <w:rsid w:val="00B365E0"/>
    <w:rsid w:val="00B41D9A"/>
    <w:rsid w:val="00B4211A"/>
    <w:rsid w:val="00B44A92"/>
    <w:rsid w:val="00B44FD1"/>
    <w:rsid w:val="00B461A1"/>
    <w:rsid w:val="00B4784C"/>
    <w:rsid w:val="00B47F79"/>
    <w:rsid w:val="00B527DD"/>
    <w:rsid w:val="00B57915"/>
    <w:rsid w:val="00B6092B"/>
    <w:rsid w:val="00B640C5"/>
    <w:rsid w:val="00B64221"/>
    <w:rsid w:val="00B66F9B"/>
    <w:rsid w:val="00B67A98"/>
    <w:rsid w:val="00B7139C"/>
    <w:rsid w:val="00B73453"/>
    <w:rsid w:val="00B73DD8"/>
    <w:rsid w:val="00B7600B"/>
    <w:rsid w:val="00B77ADB"/>
    <w:rsid w:val="00B83977"/>
    <w:rsid w:val="00B839E0"/>
    <w:rsid w:val="00B85E1C"/>
    <w:rsid w:val="00B8676C"/>
    <w:rsid w:val="00B86787"/>
    <w:rsid w:val="00B91100"/>
    <w:rsid w:val="00B9265F"/>
    <w:rsid w:val="00B92691"/>
    <w:rsid w:val="00B95636"/>
    <w:rsid w:val="00B96206"/>
    <w:rsid w:val="00BA203C"/>
    <w:rsid w:val="00BA21A3"/>
    <w:rsid w:val="00BA3F3F"/>
    <w:rsid w:val="00BA5E4A"/>
    <w:rsid w:val="00BA65C9"/>
    <w:rsid w:val="00BB1A3E"/>
    <w:rsid w:val="00BB1DBD"/>
    <w:rsid w:val="00BB1E9A"/>
    <w:rsid w:val="00BB1F90"/>
    <w:rsid w:val="00BB28A8"/>
    <w:rsid w:val="00BB6583"/>
    <w:rsid w:val="00BB6E2F"/>
    <w:rsid w:val="00BC0632"/>
    <w:rsid w:val="00BC2068"/>
    <w:rsid w:val="00BC4AED"/>
    <w:rsid w:val="00BC5928"/>
    <w:rsid w:val="00BC5B78"/>
    <w:rsid w:val="00BC6258"/>
    <w:rsid w:val="00BC781A"/>
    <w:rsid w:val="00BD048F"/>
    <w:rsid w:val="00BD079E"/>
    <w:rsid w:val="00BD0CF2"/>
    <w:rsid w:val="00BD1EE2"/>
    <w:rsid w:val="00BD2835"/>
    <w:rsid w:val="00BD2F55"/>
    <w:rsid w:val="00BD5CD4"/>
    <w:rsid w:val="00BD6333"/>
    <w:rsid w:val="00BD6EFD"/>
    <w:rsid w:val="00BD7FCD"/>
    <w:rsid w:val="00BE0790"/>
    <w:rsid w:val="00BE2982"/>
    <w:rsid w:val="00BE3163"/>
    <w:rsid w:val="00BE5170"/>
    <w:rsid w:val="00BE6263"/>
    <w:rsid w:val="00BE7CC7"/>
    <w:rsid w:val="00BF23E9"/>
    <w:rsid w:val="00BF6BEE"/>
    <w:rsid w:val="00BF6F7C"/>
    <w:rsid w:val="00BF7D27"/>
    <w:rsid w:val="00BF7EB7"/>
    <w:rsid w:val="00C019FB"/>
    <w:rsid w:val="00C01A23"/>
    <w:rsid w:val="00C025B2"/>
    <w:rsid w:val="00C04250"/>
    <w:rsid w:val="00C044BF"/>
    <w:rsid w:val="00C06EFB"/>
    <w:rsid w:val="00C06FD7"/>
    <w:rsid w:val="00C07779"/>
    <w:rsid w:val="00C07B27"/>
    <w:rsid w:val="00C141B7"/>
    <w:rsid w:val="00C14295"/>
    <w:rsid w:val="00C21748"/>
    <w:rsid w:val="00C234B1"/>
    <w:rsid w:val="00C25F6B"/>
    <w:rsid w:val="00C26698"/>
    <w:rsid w:val="00C30DE9"/>
    <w:rsid w:val="00C30F52"/>
    <w:rsid w:val="00C31547"/>
    <w:rsid w:val="00C32997"/>
    <w:rsid w:val="00C36F31"/>
    <w:rsid w:val="00C37E17"/>
    <w:rsid w:val="00C41746"/>
    <w:rsid w:val="00C44840"/>
    <w:rsid w:val="00C508B5"/>
    <w:rsid w:val="00C508DC"/>
    <w:rsid w:val="00C51F3C"/>
    <w:rsid w:val="00C53DA5"/>
    <w:rsid w:val="00C5530E"/>
    <w:rsid w:val="00C56121"/>
    <w:rsid w:val="00C67EC6"/>
    <w:rsid w:val="00C720F2"/>
    <w:rsid w:val="00C74B47"/>
    <w:rsid w:val="00C74F34"/>
    <w:rsid w:val="00C77A0A"/>
    <w:rsid w:val="00C838F4"/>
    <w:rsid w:val="00C83CDC"/>
    <w:rsid w:val="00C8541E"/>
    <w:rsid w:val="00C85485"/>
    <w:rsid w:val="00C85C63"/>
    <w:rsid w:val="00C8622D"/>
    <w:rsid w:val="00C878FF"/>
    <w:rsid w:val="00C90A47"/>
    <w:rsid w:val="00C910EF"/>
    <w:rsid w:val="00C92C6F"/>
    <w:rsid w:val="00C963EB"/>
    <w:rsid w:val="00C9782D"/>
    <w:rsid w:val="00CA628A"/>
    <w:rsid w:val="00CB0090"/>
    <w:rsid w:val="00CB071A"/>
    <w:rsid w:val="00CB0ECD"/>
    <w:rsid w:val="00CB13B0"/>
    <w:rsid w:val="00CB4286"/>
    <w:rsid w:val="00CB6A1E"/>
    <w:rsid w:val="00CC2E48"/>
    <w:rsid w:val="00CC42A5"/>
    <w:rsid w:val="00CC4870"/>
    <w:rsid w:val="00CD0122"/>
    <w:rsid w:val="00CD0AAA"/>
    <w:rsid w:val="00CD7419"/>
    <w:rsid w:val="00CE0117"/>
    <w:rsid w:val="00CE05F7"/>
    <w:rsid w:val="00CE115B"/>
    <w:rsid w:val="00CE1EB8"/>
    <w:rsid w:val="00CE1F61"/>
    <w:rsid w:val="00CE316A"/>
    <w:rsid w:val="00CF0C13"/>
    <w:rsid w:val="00CF0FAF"/>
    <w:rsid w:val="00CF2B93"/>
    <w:rsid w:val="00CF3133"/>
    <w:rsid w:val="00CF3FE5"/>
    <w:rsid w:val="00CF5156"/>
    <w:rsid w:val="00CF54F1"/>
    <w:rsid w:val="00CF690B"/>
    <w:rsid w:val="00D008EB"/>
    <w:rsid w:val="00D028FD"/>
    <w:rsid w:val="00D053F1"/>
    <w:rsid w:val="00D067AB"/>
    <w:rsid w:val="00D12814"/>
    <w:rsid w:val="00D13C51"/>
    <w:rsid w:val="00D1605F"/>
    <w:rsid w:val="00D20AB9"/>
    <w:rsid w:val="00D21491"/>
    <w:rsid w:val="00D21614"/>
    <w:rsid w:val="00D22DF9"/>
    <w:rsid w:val="00D22EE6"/>
    <w:rsid w:val="00D22F89"/>
    <w:rsid w:val="00D2315E"/>
    <w:rsid w:val="00D242D3"/>
    <w:rsid w:val="00D24985"/>
    <w:rsid w:val="00D26E84"/>
    <w:rsid w:val="00D320DC"/>
    <w:rsid w:val="00D32709"/>
    <w:rsid w:val="00D34607"/>
    <w:rsid w:val="00D36506"/>
    <w:rsid w:val="00D37E64"/>
    <w:rsid w:val="00D40371"/>
    <w:rsid w:val="00D421E0"/>
    <w:rsid w:val="00D43764"/>
    <w:rsid w:val="00D44A61"/>
    <w:rsid w:val="00D451F7"/>
    <w:rsid w:val="00D45321"/>
    <w:rsid w:val="00D46691"/>
    <w:rsid w:val="00D47928"/>
    <w:rsid w:val="00D50F24"/>
    <w:rsid w:val="00D511F1"/>
    <w:rsid w:val="00D51C3D"/>
    <w:rsid w:val="00D5551D"/>
    <w:rsid w:val="00D56503"/>
    <w:rsid w:val="00D5706A"/>
    <w:rsid w:val="00D578C4"/>
    <w:rsid w:val="00D608AB"/>
    <w:rsid w:val="00D60AA8"/>
    <w:rsid w:val="00D61A95"/>
    <w:rsid w:val="00D62080"/>
    <w:rsid w:val="00D67FA8"/>
    <w:rsid w:val="00D70467"/>
    <w:rsid w:val="00D709EB"/>
    <w:rsid w:val="00D710C4"/>
    <w:rsid w:val="00D730A6"/>
    <w:rsid w:val="00D731B5"/>
    <w:rsid w:val="00D73459"/>
    <w:rsid w:val="00D75EE9"/>
    <w:rsid w:val="00D77135"/>
    <w:rsid w:val="00D81C0B"/>
    <w:rsid w:val="00D82BE7"/>
    <w:rsid w:val="00D83814"/>
    <w:rsid w:val="00D84975"/>
    <w:rsid w:val="00D8538F"/>
    <w:rsid w:val="00D85857"/>
    <w:rsid w:val="00D859B8"/>
    <w:rsid w:val="00D86124"/>
    <w:rsid w:val="00D87234"/>
    <w:rsid w:val="00D90704"/>
    <w:rsid w:val="00D91EE7"/>
    <w:rsid w:val="00D9239D"/>
    <w:rsid w:val="00D93AE2"/>
    <w:rsid w:val="00D93FBF"/>
    <w:rsid w:val="00D95082"/>
    <w:rsid w:val="00D95EBE"/>
    <w:rsid w:val="00D9770B"/>
    <w:rsid w:val="00DA30AE"/>
    <w:rsid w:val="00DA3DC5"/>
    <w:rsid w:val="00DA52D2"/>
    <w:rsid w:val="00DA6944"/>
    <w:rsid w:val="00DB0792"/>
    <w:rsid w:val="00DB13E7"/>
    <w:rsid w:val="00DB2BC0"/>
    <w:rsid w:val="00DB3510"/>
    <w:rsid w:val="00DB38A8"/>
    <w:rsid w:val="00DB46D9"/>
    <w:rsid w:val="00DB48B0"/>
    <w:rsid w:val="00DB5598"/>
    <w:rsid w:val="00DB5808"/>
    <w:rsid w:val="00DC356E"/>
    <w:rsid w:val="00DC4505"/>
    <w:rsid w:val="00DC531C"/>
    <w:rsid w:val="00DC61B5"/>
    <w:rsid w:val="00DC6A37"/>
    <w:rsid w:val="00DC72D6"/>
    <w:rsid w:val="00DD19C3"/>
    <w:rsid w:val="00DD2076"/>
    <w:rsid w:val="00DD2E72"/>
    <w:rsid w:val="00DD66ED"/>
    <w:rsid w:val="00DD6962"/>
    <w:rsid w:val="00DD7762"/>
    <w:rsid w:val="00DE0A70"/>
    <w:rsid w:val="00DE2D92"/>
    <w:rsid w:val="00DE4E26"/>
    <w:rsid w:val="00DE6354"/>
    <w:rsid w:val="00DE6DC4"/>
    <w:rsid w:val="00DE7E68"/>
    <w:rsid w:val="00DF145F"/>
    <w:rsid w:val="00DF1BF2"/>
    <w:rsid w:val="00DF2B6B"/>
    <w:rsid w:val="00DF2C9E"/>
    <w:rsid w:val="00DF5227"/>
    <w:rsid w:val="00DF5485"/>
    <w:rsid w:val="00DF5CAC"/>
    <w:rsid w:val="00DF68B6"/>
    <w:rsid w:val="00DF7AC9"/>
    <w:rsid w:val="00E01303"/>
    <w:rsid w:val="00E01F0C"/>
    <w:rsid w:val="00E02EA9"/>
    <w:rsid w:val="00E05DBC"/>
    <w:rsid w:val="00E067DE"/>
    <w:rsid w:val="00E105C4"/>
    <w:rsid w:val="00E10D62"/>
    <w:rsid w:val="00E115F6"/>
    <w:rsid w:val="00E12005"/>
    <w:rsid w:val="00E12238"/>
    <w:rsid w:val="00E12D89"/>
    <w:rsid w:val="00E145F3"/>
    <w:rsid w:val="00E15009"/>
    <w:rsid w:val="00E1511B"/>
    <w:rsid w:val="00E15815"/>
    <w:rsid w:val="00E16D58"/>
    <w:rsid w:val="00E17297"/>
    <w:rsid w:val="00E1777B"/>
    <w:rsid w:val="00E21740"/>
    <w:rsid w:val="00E22126"/>
    <w:rsid w:val="00E2252B"/>
    <w:rsid w:val="00E22ECF"/>
    <w:rsid w:val="00E25317"/>
    <w:rsid w:val="00E25732"/>
    <w:rsid w:val="00E302A0"/>
    <w:rsid w:val="00E32092"/>
    <w:rsid w:val="00E3295B"/>
    <w:rsid w:val="00E32BE5"/>
    <w:rsid w:val="00E32EAA"/>
    <w:rsid w:val="00E33D50"/>
    <w:rsid w:val="00E35907"/>
    <w:rsid w:val="00E36C45"/>
    <w:rsid w:val="00E41D9C"/>
    <w:rsid w:val="00E4254F"/>
    <w:rsid w:val="00E44CAA"/>
    <w:rsid w:val="00E45FB1"/>
    <w:rsid w:val="00E462AC"/>
    <w:rsid w:val="00E467DE"/>
    <w:rsid w:val="00E530BE"/>
    <w:rsid w:val="00E543AA"/>
    <w:rsid w:val="00E561A5"/>
    <w:rsid w:val="00E563AA"/>
    <w:rsid w:val="00E56FFF"/>
    <w:rsid w:val="00E573CF"/>
    <w:rsid w:val="00E57F3D"/>
    <w:rsid w:val="00E63577"/>
    <w:rsid w:val="00E638F9"/>
    <w:rsid w:val="00E703BB"/>
    <w:rsid w:val="00E70FA2"/>
    <w:rsid w:val="00E710DE"/>
    <w:rsid w:val="00E7193B"/>
    <w:rsid w:val="00E72527"/>
    <w:rsid w:val="00E74010"/>
    <w:rsid w:val="00E74D2D"/>
    <w:rsid w:val="00E7574B"/>
    <w:rsid w:val="00E77B48"/>
    <w:rsid w:val="00E77B95"/>
    <w:rsid w:val="00E77CEC"/>
    <w:rsid w:val="00E80EE7"/>
    <w:rsid w:val="00E80F45"/>
    <w:rsid w:val="00E81AA0"/>
    <w:rsid w:val="00E8443D"/>
    <w:rsid w:val="00E84AED"/>
    <w:rsid w:val="00E85606"/>
    <w:rsid w:val="00E9031F"/>
    <w:rsid w:val="00E90A00"/>
    <w:rsid w:val="00E94C22"/>
    <w:rsid w:val="00EA1BC5"/>
    <w:rsid w:val="00EA27A6"/>
    <w:rsid w:val="00EA6E94"/>
    <w:rsid w:val="00EB06ED"/>
    <w:rsid w:val="00EB0D84"/>
    <w:rsid w:val="00EB372B"/>
    <w:rsid w:val="00EB5552"/>
    <w:rsid w:val="00EB5C2F"/>
    <w:rsid w:val="00EB7B83"/>
    <w:rsid w:val="00EC0002"/>
    <w:rsid w:val="00EC005C"/>
    <w:rsid w:val="00EC0A0A"/>
    <w:rsid w:val="00EC14F3"/>
    <w:rsid w:val="00EC20DD"/>
    <w:rsid w:val="00EC23CB"/>
    <w:rsid w:val="00EC2FD6"/>
    <w:rsid w:val="00EC304E"/>
    <w:rsid w:val="00EC451E"/>
    <w:rsid w:val="00EC4F3E"/>
    <w:rsid w:val="00EC5185"/>
    <w:rsid w:val="00EC53D0"/>
    <w:rsid w:val="00EC5409"/>
    <w:rsid w:val="00EC581B"/>
    <w:rsid w:val="00ED0796"/>
    <w:rsid w:val="00ED1B3A"/>
    <w:rsid w:val="00ED4DAA"/>
    <w:rsid w:val="00ED51FF"/>
    <w:rsid w:val="00ED5C7E"/>
    <w:rsid w:val="00EE2B05"/>
    <w:rsid w:val="00EE3429"/>
    <w:rsid w:val="00EE3D5B"/>
    <w:rsid w:val="00EE5EEF"/>
    <w:rsid w:val="00EF003D"/>
    <w:rsid w:val="00EF018F"/>
    <w:rsid w:val="00EF11FE"/>
    <w:rsid w:val="00EF3570"/>
    <w:rsid w:val="00EF3699"/>
    <w:rsid w:val="00EF3AE2"/>
    <w:rsid w:val="00EF491E"/>
    <w:rsid w:val="00EF5A7D"/>
    <w:rsid w:val="00F00312"/>
    <w:rsid w:val="00F01270"/>
    <w:rsid w:val="00F026ED"/>
    <w:rsid w:val="00F03685"/>
    <w:rsid w:val="00F03700"/>
    <w:rsid w:val="00F05C57"/>
    <w:rsid w:val="00F05DBF"/>
    <w:rsid w:val="00F063CF"/>
    <w:rsid w:val="00F11FDC"/>
    <w:rsid w:val="00F12786"/>
    <w:rsid w:val="00F13216"/>
    <w:rsid w:val="00F138FB"/>
    <w:rsid w:val="00F150EB"/>
    <w:rsid w:val="00F20069"/>
    <w:rsid w:val="00F20678"/>
    <w:rsid w:val="00F232C0"/>
    <w:rsid w:val="00F23345"/>
    <w:rsid w:val="00F2345F"/>
    <w:rsid w:val="00F24689"/>
    <w:rsid w:val="00F25CE2"/>
    <w:rsid w:val="00F2749F"/>
    <w:rsid w:val="00F27D55"/>
    <w:rsid w:val="00F30F61"/>
    <w:rsid w:val="00F3118C"/>
    <w:rsid w:val="00F316B1"/>
    <w:rsid w:val="00F3257B"/>
    <w:rsid w:val="00F3318C"/>
    <w:rsid w:val="00F3353D"/>
    <w:rsid w:val="00F35906"/>
    <w:rsid w:val="00F35E69"/>
    <w:rsid w:val="00F377D5"/>
    <w:rsid w:val="00F37B3C"/>
    <w:rsid w:val="00F418B2"/>
    <w:rsid w:val="00F43CE6"/>
    <w:rsid w:val="00F44C1C"/>
    <w:rsid w:val="00F44DA8"/>
    <w:rsid w:val="00F50ECE"/>
    <w:rsid w:val="00F5137A"/>
    <w:rsid w:val="00F51E89"/>
    <w:rsid w:val="00F528D4"/>
    <w:rsid w:val="00F532FF"/>
    <w:rsid w:val="00F54314"/>
    <w:rsid w:val="00F551D2"/>
    <w:rsid w:val="00F55A46"/>
    <w:rsid w:val="00F55FB6"/>
    <w:rsid w:val="00F5634B"/>
    <w:rsid w:val="00F56436"/>
    <w:rsid w:val="00F56F81"/>
    <w:rsid w:val="00F578B8"/>
    <w:rsid w:val="00F612B5"/>
    <w:rsid w:val="00F661E6"/>
    <w:rsid w:val="00F67A50"/>
    <w:rsid w:val="00F67FBF"/>
    <w:rsid w:val="00F7045D"/>
    <w:rsid w:val="00F7085E"/>
    <w:rsid w:val="00F74F07"/>
    <w:rsid w:val="00F75344"/>
    <w:rsid w:val="00F77752"/>
    <w:rsid w:val="00F777C6"/>
    <w:rsid w:val="00F77A09"/>
    <w:rsid w:val="00F77D85"/>
    <w:rsid w:val="00F815A9"/>
    <w:rsid w:val="00F85046"/>
    <w:rsid w:val="00F87E3B"/>
    <w:rsid w:val="00F915D0"/>
    <w:rsid w:val="00F92721"/>
    <w:rsid w:val="00F92878"/>
    <w:rsid w:val="00F93720"/>
    <w:rsid w:val="00F94526"/>
    <w:rsid w:val="00F9705D"/>
    <w:rsid w:val="00F970E1"/>
    <w:rsid w:val="00FA0001"/>
    <w:rsid w:val="00FA0352"/>
    <w:rsid w:val="00FA2853"/>
    <w:rsid w:val="00FA381F"/>
    <w:rsid w:val="00FA434F"/>
    <w:rsid w:val="00FA4359"/>
    <w:rsid w:val="00FA4856"/>
    <w:rsid w:val="00FA5441"/>
    <w:rsid w:val="00FA64AC"/>
    <w:rsid w:val="00FA6E34"/>
    <w:rsid w:val="00FA77EA"/>
    <w:rsid w:val="00FA78CB"/>
    <w:rsid w:val="00FA7E48"/>
    <w:rsid w:val="00FB0C66"/>
    <w:rsid w:val="00FB1671"/>
    <w:rsid w:val="00FB1F0B"/>
    <w:rsid w:val="00FB2209"/>
    <w:rsid w:val="00FB2877"/>
    <w:rsid w:val="00FB2911"/>
    <w:rsid w:val="00FB49E0"/>
    <w:rsid w:val="00FB4C3C"/>
    <w:rsid w:val="00FB627A"/>
    <w:rsid w:val="00FB7634"/>
    <w:rsid w:val="00FB77D8"/>
    <w:rsid w:val="00FC27EC"/>
    <w:rsid w:val="00FC3C89"/>
    <w:rsid w:val="00FC3FC8"/>
    <w:rsid w:val="00FC5CBC"/>
    <w:rsid w:val="00FC60D9"/>
    <w:rsid w:val="00FC62C6"/>
    <w:rsid w:val="00FC7BC0"/>
    <w:rsid w:val="00FD1646"/>
    <w:rsid w:val="00FD2FDA"/>
    <w:rsid w:val="00FD57DC"/>
    <w:rsid w:val="00FD768E"/>
    <w:rsid w:val="00FE2631"/>
    <w:rsid w:val="00FE368B"/>
    <w:rsid w:val="00FE391C"/>
    <w:rsid w:val="00FE662D"/>
    <w:rsid w:val="00FE7834"/>
    <w:rsid w:val="00FE7A50"/>
    <w:rsid w:val="00FF015F"/>
    <w:rsid w:val="00FF0391"/>
    <w:rsid w:val="00FF07CD"/>
    <w:rsid w:val="00FF1186"/>
    <w:rsid w:val="00FF12FD"/>
    <w:rsid w:val="00FF23F4"/>
    <w:rsid w:val="00FF313D"/>
    <w:rsid w:val="00FF5C9A"/>
    <w:rsid w:val="00FF5E54"/>
    <w:rsid w:val="00FF79FF"/>
    <w:rsid w:val="1A1557EE"/>
    <w:rsid w:val="3B40707A"/>
    <w:rsid w:val="7EC42E0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8"/>
      <w:szCs w:val="22"/>
      <w:lang w:val="uk-UA" w:eastAsia="en-US" w:bidi="ar-SA"/>
    </w:rPr>
  </w:style>
  <w:style w:type="paragraph" w:styleId="2">
    <w:name w:val="heading 1"/>
    <w:basedOn w:val="1"/>
    <w:next w:val="1"/>
    <w:link w:val="29"/>
    <w:qFormat/>
    <w:uiPriority w:val="99"/>
    <w:pPr>
      <w:keepNext/>
      <w:spacing w:before="240" w:after="60" w:line="240" w:lineRule="auto"/>
      <w:outlineLvl w:val="0"/>
    </w:pPr>
    <w:rPr>
      <w:rFonts w:ascii="Arial" w:hAnsi="Arial"/>
      <w:b/>
      <w:bCs/>
      <w:kern w:val="32"/>
      <w:sz w:val="32"/>
      <w:szCs w:val="32"/>
      <w:lang w:val="ru-RU" w:eastAsia="ru-RU"/>
    </w:rPr>
  </w:style>
  <w:style w:type="paragraph" w:styleId="3">
    <w:name w:val="heading 3"/>
    <w:basedOn w:val="1"/>
    <w:next w:val="1"/>
    <w:link w:val="30"/>
    <w:qFormat/>
    <w:uiPriority w:val="99"/>
    <w:pPr>
      <w:spacing w:before="100" w:beforeAutospacing="1" w:after="100" w:afterAutospacing="1" w:line="240" w:lineRule="auto"/>
      <w:outlineLvl w:val="2"/>
    </w:pPr>
    <w:rPr>
      <w:b/>
      <w:bCs/>
      <w:sz w:val="27"/>
      <w:szCs w:val="27"/>
      <w:lang w:val="ru-RU" w:eastAsia="ru-RU"/>
    </w:rPr>
  </w:style>
  <w:style w:type="paragraph" w:styleId="4">
    <w:name w:val="heading 4"/>
    <w:basedOn w:val="1"/>
    <w:next w:val="1"/>
    <w:link w:val="45"/>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uiPriority w:val="99"/>
    <w:pPr>
      <w:spacing w:after="0" w:line="240" w:lineRule="auto"/>
    </w:pPr>
    <w:rPr>
      <w:rFonts w:ascii="Tahoma" w:hAnsi="Tahoma"/>
      <w:sz w:val="16"/>
      <w:szCs w:val="16"/>
    </w:rPr>
  </w:style>
  <w:style w:type="paragraph" w:styleId="8">
    <w:name w:val="Body Text"/>
    <w:basedOn w:val="1"/>
    <w:link w:val="38"/>
    <w:semiHidden/>
    <w:unhideWhenUsed/>
    <w:uiPriority w:val="99"/>
    <w:pPr>
      <w:spacing w:after="120"/>
    </w:pPr>
    <w:rPr>
      <w:rFonts w:ascii="Calibri" w:hAnsi="Calibri" w:eastAsia="Calibri"/>
      <w:sz w:val="22"/>
    </w:rPr>
  </w:style>
  <w:style w:type="paragraph" w:styleId="9">
    <w:name w:val="Body Text First Indent"/>
    <w:basedOn w:val="8"/>
    <w:link w:val="40"/>
    <w:qFormat/>
    <w:uiPriority w:val="0"/>
    <w:pPr>
      <w:spacing w:line="240" w:lineRule="auto"/>
      <w:ind w:firstLine="210"/>
    </w:pPr>
    <w:rPr>
      <w:rFonts w:ascii="Times New Roman" w:hAnsi="Times New Roman" w:eastAsia="Times New Roman"/>
      <w:color w:val="000000"/>
      <w:sz w:val="24"/>
      <w:szCs w:val="24"/>
    </w:rPr>
  </w:style>
  <w:style w:type="character" w:styleId="10">
    <w:name w:val="annotation reference"/>
    <w:basedOn w:val="5"/>
    <w:semiHidden/>
    <w:unhideWhenUsed/>
    <w:qFormat/>
    <w:uiPriority w:val="99"/>
    <w:rPr>
      <w:sz w:val="16"/>
      <w:szCs w:val="16"/>
    </w:rPr>
  </w:style>
  <w:style w:type="paragraph" w:styleId="11">
    <w:name w:val="annotation text"/>
    <w:basedOn w:val="1"/>
    <w:link w:val="32"/>
    <w:uiPriority w:val="99"/>
    <w:pPr>
      <w:spacing w:after="0" w:line="240" w:lineRule="auto"/>
    </w:pPr>
    <w:rPr>
      <w:sz w:val="20"/>
      <w:szCs w:val="20"/>
      <w:lang w:val="ru-RU" w:eastAsia="ru-RU"/>
    </w:rPr>
  </w:style>
  <w:style w:type="character" w:styleId="12">
    <w:name w:val="Emphasis"/>
    <w:basedOn w:val="5"/>
    <w:qFormat/>
    <w:uiPriority w:val="99"/>
    <w:rPr>
      <w:rFonts w:cs="Times New Roman"/>
      <w:i/>
      <w:iCs/>
    </w:rPr>
  </w:style>
  <w:style w:type="paragraph" w:styleId="13">
    <w:name w:val="footer"/>
    <w:basedOn w:val="1"/>
    <w:link w:val="28"/>
    <w:unhideWhenUsed/>
    <w:qFormat/>
    <w:uiPriority w:val="99"/>
    <w:pPr>
      <w:tabs>
        <w:tab w:val="center" w:pos="4677"/>
        <w:tab w:val="right" w:pos="9355"/>
      </w:tabs>
      <w:spacing w:after="0" w:line="240" w:lineRule="auto"/>
    </w:pPr>
    <w:rPr>
      <w:szCs w:val="20"/>
    </w:rPr>
  </w:style>
  <w:style w:type="paragraph" w:styleId="14">
    <w:name w:val="header"/>
    <w:basedOn w:val="1"/>
    <w:link w:val="27"/>
    <w:unhideWhenUsed/>
    <w:uiPriority w:val="99"/>
    <w:pPr>
      <w:tabs>
        <w:tab w:val="center" w:pos="4677"/>
        <w:tab w:val="right" w:pos="9355"/>
      </w:tabs>
      <w:spacing w:after="0" w:line="240" w:lineRule="auto"/>
    </w:pPr>
    <w:rPr>
      <w:szCs w:val="20"/>
    </w:rPr>
  </w:style>
  <w:style w:type="paragraph" w:styleId="15">
    <w:name w:val="HTML Preformatted"/>
    <w:basedOn w:val="1"/>
    <w:link w:val="4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styleId="16">
    <w:name w:val="Hyperlink"/>
    <w:unhideWhenUsed/>
    <w:uiPriority w:val="99"/>
    <w:rPr>
      <w:color w:val="0000FF"/>
      <w:u w:val="single"/>
    </w:rPr>
  </w:style>
  <w:style w:type="paragraph" w:styleId="17">
    <w:name w:val="Normal (Web)"/>
    <w:basedOn w:val="1"/>
    <w:link w:val="49"/>
    <w:unhideWhenUsed/>
    <w:qFormat/>
    <w:uiPriority w:val="0"/>
    <w:pPr>
      <w:spacing w:before="100" w:beforeAutospacing="1" w:after="100" w:afterAutospacing="1" w:line="240" w:lineRule="auto"/>
    </w:pPr>
    <w:rPr>
      <w:sz w:val="24"/>
      <w:szCs w:val="24"/>
      <w:lang w:val="ru-RU" w:eastAsia="ru-RU"/>
    </w:rPr>
  </w:style>
  <w:style w:type="character" w:styleId="18">
    <w:name w:val="Strong"/>
    <w:basedOn w:val="5"/>
    <w:qFormat/>
    <w:uiPriority w:val="22"/>
    <w:rPr>
      <w:b/>
      <w:bCs/>
    </w:rPr>
  </w:style>
  <w:style w:type="table" w:styleId="19">
    <w:name w:val="Table Grid"/>
    <w:basedOn w:val="6"/>
    <w:uiPriority w:val="39"/>
    <w:rPr>
      <w:rFonts w:ascii="Times New Roman" w:hAnsi="Times New Roman"/>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No Spacing"/>
    <w:link w:val="37"/>
    <w:qFormat/>
    <w:uiPriority w:val="1"/>
    <w:rPr>
      <w:rFonts w:ascii="Calibri" w:hAnsi="Calibri" w:eastAsia="Calibri" w:cs="Times New Roman"/>
      <w:sz w:val="22"/>
      <w:szCs w:val="22"/>
      <w:lang w:val="uk-UA" w:eastAsia="en-US" w:bidi="ar-SA"/>
    </w:rPr>
  </w:style>
  <w:style w:type="character" w:customStyle="1" w:styleId="21">
    <w:name w:val="rvts0"/>
    <w:uiPriority w:val="0"/>
    <w:rPr>
      <w:rFonts w:cs="Times New Roman"/>
    </w:rPr>
  </w:style>
  <w:style w:type="paragraph" w:customStyle="1" w:styleId="22">
    <w:name w:val="rvps2"/>
    <w:basedOn w:val="1"/>
    <w:qFormat/>
    <w:uiPriority w:val="0"/>
    <w:pPr>
      <w:spacing w:before="100" w:beforeAutospacing="1" w:after="100" w:afterAutospacing="1" w:line="240" w:lineRule="auto"/>
    </w:pPr>
    <w:rPr>
      <w:rFonts w:eastAsia="Calibri"/>
      <w:sz w:val="24"/>
      <w:szCs w:val="24"/>
      <w:lang w:eastAsia="uk-UA"/>
    </w:rPr>
  </w:style>
  <w:style w:type="paragraph" w:customStyle="1" w:styleId="23">
    <w:name w:val="LO-normal"/>
    <w:qFormat/>
    <w:uiPriority w:val="0"/>
    <w:pPr>
      <w:spacing w:line="276" w:lineRule="auto"/>
    </w:pPr>
    <w:rPr>
      <w:rFonts w:ascii="Arial" w:hAnsi="Arial" w:eastAsia="Arial" w:cs="Arial"/>
      <w:color w:val="000000"/>
      <w:sz w:val="22"/>
      <w:szCs w:val="22"/>
      <w:lang w:val="ru-RU" w:eastAsia="zh-CN" w:bidi="ar-SA"/>
    </w:rPr>
  </w:style>
  <w:style w:type="paragraph" w:styleId="24">
    <w:name w:val="List Paragraph"/>
    <w:basedOn w:val="1"/>
    <w:link w:val="39"/>
    <w:qFormat/>
    <w:uiPriority w:val="34"/>
    <w:pPr>
      <w:ind w:left="720"/>
      <w:contextualSpacing/>
    </w:pPr>
  </w:style>
  <w:style w:type="character" w:customStyle="1" w:styleId="25">
    <w:name w:val="Текст выноски Знак"/>
    <w:link w:val="7"/>
    <w:semiHidden/>
    <w:uiPriority w:val="99"/>
    <w:rPr>
      <w:rFonts w:ascii="Tahoma" w:hAnsi="Tahoma" w:eastAsia="Times New Roman" w:cs="Tahoma"/>
      <w:sz w:val="16"/>
      <w:szCs w:val="16"/>
    </w:rPr>
  </w:style>
  <w:style w:type="paragraph" w:customStyle="1" w:styleId="26">
    <w:name w:val="Iau?iue1"/>
    <w:uiPriority w:val="0"/>
    <w:rPr>
      <w:rFonts w:ascii="Times New Roman" w:hAnsi="Times New Roman" w:eastAsia="Times New Roman" w:cs="Times New Roman"/>
      <w:lang w:val="en-US" w:eastAsia="ru-RU" w:bidi="ar-SA"/>
    </w:rPr>
  </w:style>
  <w:style w:type="character" w:customStyle="1" w:styleId="27">
    <w:name w:val="Верхний колонтитул Знак"/>
    <w:link w:val="14"/>
    <w:uiPriority w:val="99"/>
    <w:rPr>
      <w:rFonts w:ascii="Times New Roman" w:hAnsi="Times New Roman" w:eastAsia="Times New Roman" w:cs="Times New Roman"/>
      <w:sz w:val="28"/>
    </w:rPr>
  </w:style>
  <w:style w:type="character" w:customStyle="1" w:styleId="28">
    <w:name w:val="Нижний колонтитул Знак"/>
    <w:link w:val="13"/>
    <w:uiPriority w:val="99"/>
    <w:rPr>
      <w:rFonts w:ascii="Times New Roman" w:hAnsi="Times New Roman" w:eastAsia="Times New Roman" w:cs="Times New Roman"/>
      <w:sz w:val="28"/>
    </w:rPr>
  </w:style>
  <w:style w:type="character" w:customStyle="1" w:styleId="29">
    <w:name w:val="Заголовок 1 Знак"/>
    <w:link w:val="2"/>
    <w:uiPriority w:val="99"/>
    <w:rPr>
      <w:rFonts w:ascii="Arial" w:hAnsi="Arial" w:eastAsia="Times New Roman" w:cs="Arial"/>
      <w:b/>
      <w:bCs/>
      <w:kern w:val="32"/>
      <w:sz w:val="32"/>
      <w:szCs w:val="32"/>
      <w:lang w:val="ru-RU" w:eastAsia="ru-RU"/>
    </w:rPr>
  </w:style>
  <w:style w:type="character" w:customStyle="1" w:styleId="30">
    <w:name w:val="Заголовок 3 Знак"/>
    <w:link w:val="3"/>
    <w:qFormat/>
    <w:uiPriority w:val="99"/>
    <w:rPr>
      <w:rFonts w:ascii="Times New Roman" w:hAnsi="Times New Roman" w:eastAsia="Times New Roman" w:cs="Times New Roman"/>
      <w:b/>
      <w:bCs/>
      <w:sz w:val="27"/>
      <w:szCs w:val="27"/>
      <w:lang w:val="ru-RU" w:eastAsia="ru-RU"/>
    </w:rPr>
  </w:style>
  <w:style w:type="character" w:customStyle="1" w:styleId="31">
    <w:name w:val="wmi-callto"/>
    <w:uiPriority w:val="99"/>
    <w:rPr>
      <w:rFonts w:cs="Times New Roman"/>
    </w:rPr>
  </w:style>
  <w:style w:type="character" w:customStyle="1" w:styleId="32">
    <w:name w:val="Текст примечания Знак"/>
    <w:link w:val="11"/>
    <w:qFormat/>
    <w:uiPriority w:val="99"/>
    <w:rPr>
      <w:rFonts w:ascii="Times New Roman" w:hAnsi="Times New Roman" w:eastAsia="Times New Roman" w:cs="Times New Roman"/>
      <w:sz w:val="20"/>
      <w:szCs w:val="20"/>
      <w:lang w:val="ru-RU" w:eastAsia="ru-RU"/>
    </w:rPr>
  </w:style>
  <w:style w:type="character" w:customStyle="1" w:styleId="33">
    <w:name w:val="Обычный1"/>
    <w:qFormat/>
    <w:uiPriority w:val="0"/>
  </w:style>
  <w:style w:type="character" w:customStyle="1" w:styleId="34">
    <w:name w:val="sortspan"/>
    <w:qFormat/>
    <w:uiPriority w:val="0"/>
  </w:style>
  <w:style w:type="paragraph" w:customStyle="1" w:styleId="35">
    <w:name w:val="Без интервала1"/>
    <w:link w:val="36"/>
    <w:qFormat/>
    <w:uiPriority w:val="1"/>
    <w:rPr>
      <w:rFonts w:ascii="Calibri" w:hAnsi="Calibri" w:eastAsia="Times New Roman" w:cs="Times New Roman"/>
      <w:sz w:val="22"/>
      <w:szCs w:val="22"/>
      <w:lang w:val="uk-UA" w:eastAsia="en-US" w:bidi="ar-SA"/>
    </w:rPr>
  </w:style>
  <w:style w:type="character" w:customStyle="1" w:styleId="36">
    <w:name w:val="No Spacing Char"/>
    <w:link w:val="35"/>
    <w:qFormat/>
    <w:locked/>
    <w:uiPriority w:val="0"/>
    <w:rPr>
      <w:rFonts w:eastAsia="Times New Roman"/>
      <w:sz w:val="22"/>
      <w:szCs w:val="22"/>
      <w:lang w:val="uk-UA" w:eastAsia="en-US" w:bidi="ar-SA"/>
    </w:rPr>
  </w:style>
  <w:style w:type="character" w:customStyle="1" w:styleId="37">
    <w:name w:val="Без интервала Знак"/>
    <w:link w:val="20"/>
    <w:locked/>
    <w:uiPriority w:val="0"/>
    <w:rPr>
      <w:sz w:val="22"/>
      <w:szCs w:val="22"/>
      <w:lang w:val="uk-UA" w:eastAsia="en-US" w:bidi="ar-SA"/>
    </w:rPr>
  </w:style>
  <w:style w:type="character" w:customStyle="1" w:styleId="38">
    <w:name w:val="Основной текст Знак"/>
    <w:basedOn w:val="5"/>
    <w:link w:val="8"/>
    <w:semiHidden/>
    <w:qFormat/>
    <w:uiPriority w:val="99"/>
    <w:rPr>
      <w:sz w:val="22"/>
      <w:szCs w:val="22"/>
      <w:lang w:val="uk-UA" w:eastAsia="en-US"/>
    </w:rPr>
  </w:style>
  <w:style w:type="character" w:customStyle="1" w:styleId="39">
    <w:name w:val="Абзац списка Знак"/>
    <w:link w:val="24"/>
    <w:uiPriority w:val="0"/>
    <w:rPr>
      <w:rFonts w:ascii="Times New Roman" w:hAnsi="Times New Roman" w:eastAsia="Times New Roman"/>
      <w:sz w:val="28"/>
      <w:szCs w:val="22"/>
      <w:lang w:val="uk-UA" w:eastAsia="en-US"/>
    </w:rPr>
  </w:style>
  <w:style w:type="character" w:customStyle="1" w:styleId="40">
    <w:name w:val="Красная строка Знак"/>
    <w:basedOn w:val="38"/>
    <w:link w:val="9"/>
    <w:uiPriority w:val="0"/>
    <w:rPr>
      <w:rFonts w:ascii="Times New Roman" w:hAnsi="Times New Roman" w:eastAsia="Times New Roman"/>
      <w:color w:val="000000"/>
      <w:sz w:val="24"/>
      <w:szCs w:val="24"/>
      <w:lang w:val="uk-UA" w:eastAsia="en-US"/>
    </w:rPr>
  </w:style>
  <w:style w:type="paragraph" w:styleId="41">
    <w:name w:val="Quote"/>
    <w:basedOn w:val="1"/>
    <w:next w:val="1"/>
    <w:link w:val="42"/>
    <w:qFormat/>
    <w:uiPriority w:val="29"/>
    <w:pPr>
      <w:spacing w:before="200" w:after="160"/>
      <w:ind w:left="864" w:right="864"/>
      <w:jc w:val="center"/>
    </w:pPr>
    <w:rPr>
      <w:rFonts w:ascii="Calibri" w:hAnsi="Calibri" w:eastAsia="Calibri"/>
      <w:i/>
      <w:iCs/>
      <w:color w:val="404040"/>
      <w:sz w:val="22"/>
    </w:rPr>
  </w:style>
  <w:style w:type="character" w:customStyle="1" w:styleId="42">
    <w:name w:val="Цитата 2 Знак"/>
    <w:basedOn w:val="5"/>
    <w:link w:val="41"/>
    <w:uiPriority w:val="29"/>
    <w:rPr>
      <w:i/>
      <w:iCs/>
      <w:color w:val="404040"/>
      <w:sz w:val="22"/>
      <w:szCs w:val="22"/>
      <w:lang w:val="uk-UA" w:eastAsia="en-US"/>
    </w:rPr>
  </w:style>
  <w:style w:type="character" w:customStyle="1" w:styleId="43">
    <w:name w:val="Основний текст_"/>
    <w:basedOn w:val="5"/>
    <w:link w:val="44"/>
    <w:qFormat/>
    <w:uiPriority w:val="0"/>
    <w:rPr>
      <w:rFonts w:eastAsia="Times New Roman"/>
      <w:sz w:val="16"/>
      <w:szCs w:val="16"/>
      <w:shd w:val="clear" w:color="auto" w:fill="FFFFFF"/>
    </w:rPr>
  </w:style>
  <w:style w:type="paragraph" w:customStyle="1" w:styleId="44">
    <w:name w:val="Основний текст1"/>
    <w:basedOn w:val="1"/>
    <w:link w:val="43"/>
    <w:qFormat/>
    <w:uiPriority w:val="0"/>
    <w:pPr>
      <w:widowControl w:val="0"/>
      <w:shd w:val="clear" w:color="auto" w:fill="FFFFFF"/>
      <w:spacing w:after="0" w:line="235" w:lineRule="exact"/>
      <w:jc w:val="right"/>
    </w:pPr>
    <w:rPr>
      <w:rFonts w:ascii="Calibri" w:hAnsi="Calibri"/>
      <w:sz w:val="16"/>
      <w:szCs w:val="16"/>
      <w:lang w:val="ru-RU" w:eastAsia="ru-RU"/>
    </w:rPr>
  </w:style>
  <w:style w:type="character" w:customStyle="1" w:styleId="45">
    <w:name w:val="Заголовок 4 Знак"/>
    <w:basedOn w:val="5"/>
    <w:link w:val="4"/>
    <w:semiHidden/>
    <w:qFormat/>
    <w:uiPriority w:val="9"/>
    <w:rPr>
      <w:rFonts w:asciiTheme="majorHAnsi" w:hAnsiTheme="majorHAnsi" w:eastAsiaTheme="majorEastAsia" w:cstheme="majorBidi"/>
      <w:i/>
      <w:iCs/>
      <w:color w:val="376092" w:themeColor="accent1" w:themeShade="BF"/>
      <w:sz w:val="28"/>
      <w:szCs w:val="22"/>
      <w:lang w:val="uk-UA" w:eastAsia="en-US"/>
    </w:rPr>
  </w:style>
  <w:style w:type="character" w:customStyle="1" w:styleId="46">
    <w:name w:val="rvts46"/>
    <w:basedOn w:val="5"/>
    <w:uiPriority w:val="0"/>
  </w:style>
  <w:style w:type="character" w:customStyle="1" w:styleId="47">
    <w:name w:val="Стандартный HTML Знак"/>
    <w:basedOn w:val="5"/>
    <w:link w:val="15"/>
    <w:uiPriority w:val="99"/>
    <w:rPr>
      <w:rFonts w:ascii="Courier New" w:hAnsi="Courier New" w:eastAsia="Times New Roman"/>
      <w:color w:val="000000"/>
      <w:sz w:val="18"/>
      <w:szCs w:val="18"/>
    </w:rPr>
  </w:style>
  <w:style w:type="paragraph" w:customStyle="1" w:styleId="48">
    <w:name w:val="msonormal"/>
    <w:basedOn w:val="1"/>
    <w:uiPriority w:val="0"/>
    <w:pPr>
      <w:spacing w:before="100" w:beforeAutospacing="1" w:after="100" w:afterAutospacing="1" w:line="240" w:lineRule="auto"/>
    </w:pPr>
    <w:rPr>
      <w:sz w:val="24"/>
      <w:szCs w:val="24"/>
      <w:lang w:val="ru-RU" w:eastAsia="ru-RU"/>
    </w:rPr>
  </w:style>
  <w:style w:type="character" w:customStyle="1" w:styleId="49">
    <w:name w:val="Обычный (веб) Знак"/>
    <w:link w:val="17"/>
    <w:qFormat/>
    <w:uiPriority w:val="0"/>
    <w:rPr>
      <w:rFonts w:ascii="Times New Roman" w:hAnsi="Times New Roman" w:eastAsia="Times New Roman"/>
      <w:sz w:val="24"/>
      <w:szCs w:val="24"/>
    </w:rPr>
  </w:style>
  <w:style w:type="character" w:customStyle="1" w:styleId="50">
    <w:name w:val="st42"/>
    <w:uiPriority w:val="0"/>
    <w:rPr>
      <w:rFonts w:ascii="Times New Roman" w:hAnsi="Times New Roman"/>
      <w:color w:val="000000"/>
    </w:rPr>
  </w:style>
  <w:style w:type="paragraph" w:customStyle="1" w:styleId="51">
    <w:name w:val="Нормальний текст"/>
    <w:basedOn w:val="1"/>
    <w:uiPriority w:val="0"/>
    <w:pPr>
      <w:spacing w:before="120" w:after="0" w:line="240" w:lineRule="auto"/>
      <w:ind w:firstLine="567"/>
    </w:pPr>
    <w:rPr>
      <w:rFonts w:ascii="Antiqua" w:hAnsi="Antiqua"/>
      <w:sz w:val="26"/>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75D7-98DA-44C3-A7B5-B51747B459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15591</Words>
  <Characters>88875</Characters>
  <Lines>740</Lines>
  <Paragraphs>208</Paragraphs>
  <TotalTime>89</TotalTime>
  <ScaleCrop>false</ScaleCrop>
  <LinksUpToDate>false</LinksUpToDate>
  <CharactersWithSpaces>104258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2023-03-06T13:00:00Z</dcterms:created>
  <dc:creator>Admin2</dc:creator>
  <cp:lastModifiedBy>Admin</cp:lastModifiedBy>
  <cp:lastPrinted>2021-03-16T05:44:00Z</cp:lastPrinted>
  <dcterms:modified xsi:type="dcterms:W3CDTF">2023-05-18T10:12:43Z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279E7C6E7F9145EA9EC50294B8EFACB5</vt:lpwstr>
  </property>
</Properties>
</file>