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D9" w:rsidRPr="00B43CE0" w:rsidRDefault="001734D9" w:rsidP="001734D9">
      <w:pPr>
        <w:pageBreakBefore/>
        <w:pBdr>
          <w:top w:val="nil"/>
          <w:left w:val="nil"/>
          <w:bottom w:val="nil"/>
          <w:right w:val="nil"/>
          <w:between w:val="nil"/>
        </w:pBdr>
        <w:ind w:left="6804"/>
        <w:rPr>
          <w:color w:val="000000"/>
        </w:rPr>
      </w:pPr>
      <w:r w:rsidRPr="00B43CE0">
        <w:rPr>
          <w:b/>
          <w:color w:val="000000"/>
        </w:rPr>
        <w:t xml:space="preserve">Додаток 5 </w:t>
      </w:r>
      <w:r w:rsidRPr="00B43CE0">
        <w:rPr>
          <w:color w:val="000000"/>
        </w:rPr>
        <w:t>до тендерної документації</w:t>
      </w:r>
    </w:p>
    <w:p w:rsidR="001734D9" w:rsidRDefault="001734D9" w:rsidP="001734D9">
      <w:pPr>
        <w:pBdr>
          <w:top w:val="nil"/>
          <w:left w:val="nil"/>
          <w:bottom w:val="nil"/>
          <w:right w:val="nil"/>
          <w:between w:val="nil"/>
        </w:pBdr>
        <w:ind w:firstLine="357"/>
        <w:jc w:val="center"/>
        <w:rPr>
          <w:b/>
          <w:color w:val="000000"/>
        </w:rPr>
      </w:pPr>
    </w:p>
    <w:p w:rsidR="00673C4E" w:rsidRDefault="00673C4E" w:rsidP="001734D9">
      <w:pPr>
        <w:pBdr>
          <w:top w:val="nil"/>
          <w:left w:val="nil"/>
          <w:bottom w:val="nil"/>
          <w:right w:val="nil"/>
          <w:between w:val="nil"/>
        </w:pBdr>
        <w:ind w:firstLine="357"/>
        <w:jc w:val="center"/>
        <w:rPr>
          <w:b/>
          <w:color w:val="000000"/>
        </w:rPr>
      </w:pPr>
    </w:p>
    <w:p w:rsidR="00B12705" w:rsidRPr="00B12705" w:rsidRDefault="00B12705" w:rsidP="00B12705">
      <w:pPr>
        <w:pBdr>
          <w:top w:val="nil"/>
          <w:left w:val="nil"/>
          <w:bottom w:val="nil"/>
          <w:right w:val="nil"/>
          <w:between w:val="nil"/>
        </w:pBdr>
        <w:ind w:firstLine="357"/>
        <w:jc w:val="center"/>
        <w:rPr>
          <w:b/>
          <w:color w:val="000000"/>
          <w:sz w:val="28"/>
        </w:rPr>
      </w:pPr>
      <w:r w:rsidRPr="00B12705">
        <w:rPr>
          <w:b/>
          <w:color w:val="000000"/>
          <w:sz w:val="28"/>
        </w:rPr>
        <w:t>Інформація про необхідні технічні, якісні та кількісні характеристики предмета закупівлі</w:t>
      </w:r>
      <w:r w:rsidR="00D713A2">
        <w:rPr>
          <w:b/>
          <w:color w:val="000000"/>
          <w:sz w:val="28"/>
        </w:rPr>
        <w:t xml:space="preserve"> </w:t>
      </w:r>
    </w:p>
    <w:p w:rsidR="00673C4E" w:rsidRDefault="00673C4E" w:rsidP="001734D9">
      <w:pPr>
        <w:pBdr>
          <w:top w:val="nil"/>
          <w:left w:val="nil"/>
          <w:bottom w:val="nil"/>
          <w:right w:val="nil"/>
          <w:between w:val="nil"/>
        </w:pBdr>
        <w:ind w:firstLine="357"/>
        <w:jc w:val="center"/>
        <w:rPr>
          <w:b/>
          <w:color w:val="000000"/>
        </w:rPr>
      </w:pPr>
    </w:p>
    <w:p w:rsidR="00D713A2" w:rsidRDefault="00D713A2" w:rsidP="00210ED0">
      <w:pPr>
        <w:jc w:val="center"/>
        <w:outlineLvl w:val="0"/>
        <w:rPr>
          <w:b/>
          <w:color w:val="000000"/>
          <w:sz w:val="28"/>
          <w:szCs w:val="28"/>
        </w:rPr>
      </w:pPr>
      <w:r>
        <w:rPr>
          <w:b/>
          <w:color w:val="000000"/>
          <w:sz w:val="28"/>
          <w:szCs w:val="28"/>
        </w:rPr>
        <w:t>«</w:t>
      </w:r>
      <w:r w:rsidRPr="00D713A2">
        <w:rPr>
          <w:b/>
          <w:color w:val="000000"/>
          <w:sz w:val="28"/>
          <w:szCs w:val="28"/>
        </w:rPr>
        <w:t xml:space="preserve">Послуги інженера-консультанта для виготовлення проектно-кошторисної документації на будівництво інфраструктури для влаштування скануючих систем стаціонарного типу для огляду залізничних вагонів та контейнерів для облаштування пунктів пропуску «Ягодин – Дорогуск» та «Мостиська – Пшемисль» Волинської та Львівської митниць» </w:t>
      </w:r>
    </w:p>
    <w:p w:rsidR="00D713A2" w:rsidRDefault="00D713A2" w:rsidP="00210ED0">
      <w:pPr>
        <w:jc w:val="center"/>
        <w:outlineLvl w:val="0"/>
        <w:rPr>
          <w:b/>
          <w:color w:val="000000"/>
          <w:sz w:val="28"/>
          <w:szCs w:val="28"/>
        </w:rPr>
      </w:pPr>
    </w:p>
    <w:p w:rsidR="00210ED0" w:rsidRPr="00D713A2" w:rsidRDefault="00D713A2" w:rsidP="00210ED0">
      <w:pPr>
        <w:jc w:val="center"/>
        <w:outlineLvl w:val="0"/>
        <w:rPr>
          <w:b/>
          <w:color w:val="000000"/>
          <w:sz w:val="28"/>
          <w:szCs w:val="28"/>
        </w:rPr>
      </w:pPr>
      <w:r w:rsidRPr="00D713A2">
        <w:rPr>
          <w:b/>
          <w:color w:val="000000"/>
          <w:sz w:val="28"/>
          <w:szCs w:val="28"/>
        </w:rPr>
        <w:t>за кодом ДК 021:2015: 71530000-2 – Консультаційні послуги в галузі будівництва</w:t>
      </w:r>
      <w:r w:rsidR="00210ED0" w:rsidRPr="00D713A2">
        <w:rPr>
          <w:b/>
          <w:color w:val="000000"/>
          <w:sz w:val="28"/>
          <w:szCs w:val="28"/>
        </w:rPr>
        <w:t xml:space="preserve"> </w:t>
      </w:r>
    </w:p>
    <w:p w:rsidR="00210ED0" w:rsidRPr="00CC21B6" w:rsidRDefault="00210ED0" w:rsidP="00210ED0">
      <w:pPr>
        <w:jc w:val="center"/>
        <w:outlineLvl w:val="0"/>
        <w:rPr>
          <w:color w:val="000000"/>
          <w:sz w:val="28"/>
          <w:szCs w:val="28"/>
        </w:rPr>
      </w:pPr>
    </w:p>
    <w:p w:rsidR="00D713A2" w:rsidRDefault="00210ED0" w:rsidP="00210ED0">
      <w:pPr>
        <w:jc w:val="center"/>
        <w:outlineLvl w:val="0"/>
        <w:rPr>
          <w:color w:val="000000"/>
          <w:sz w:val="28"/>
          <w:szCs w:val="28"/>
        </w:rPr>
      </w:pPr>
      <w:r>
        <w:rPr>
          <w:color w:val="000000"/>
          <w:sz w:val="28"/>
          <w:szCs w:val="28"/>
        </w:rPr>
        <w:t>(</w:t>
      </w:r>
      <w:r w:rsidR="00D713A2" w:rsidRPr="001A208E">
        <w:rPr>
          <w:color w:val="000000"/>
          <w:sz w:val="28"/>
          <w:szCs w:val="28"/>
        </w:rPr>
        <w:t xml:space="preserve">Послуги інженера-консультанта для виготовлення проектно-кошторисної документації на будівництво інфраструктури для влаштування скануючих систем стаціонарного типу для огляду залізничних вагонів та контейнерів для облаштування пунктів пропуску «Ягодин – Дорогуск» та «Мостиська – Пшемисль» Волинської та Львівської митниць </w:t>
      </w:r>
    </w:p>
    <w:p w:rsidR="00D713A2" w:rsidRDefault="00D713A2" w:rsidP="00210ED0">
      <w:pPr>
        <w:jc w:val="center"/>
        <w:outlineLvl w:val="0"/>
        <w:rPr>
          <w:color w:val="000000"/>
          <w:sz w:val="28"/>
          <w:szCs w:val="28"/>
        </w:rPr>
      </w:pPr>
    </w:p>
    <w:p w:rsidR="00210ED0" w:rsidRPr="00CC21B6" w:rsidRDefault="00D713A2" w:rsidP="00210ED0">
      <w:pPr>
        <w:jc w:val="center"/>
        <w:outlineLvl w:val="0"/>
        <w:rPr>
          <w:color w:val="000000"/>
          <w:sz w:val="28"/>
          <w:szCs w:val="28"/>
        </w:rPr>
      </w:pPr>
      <w:r w:rsidRPr="001A208E">
        <w:rPr>
          <w:color w:val="000000"/>
          <w:sz w:val="28"/>
          <w:szCs w:val="28"/>
        </w:rPr>
        <w:t>за кодом ДК 021:2015: 71530000-2 – Консультаційні послуги в галузі будівництва</w:t>
      </w:r>
      <w:r w:rsidR="00210ED0">
        <w:rPr>
          <w:color w:val="000000"/>
          <w:sz w:val="28"/>
          <w:szCs w:val="28"/>
        </w:rPr>
        <w:t>)</w:t>
      </w:r>
    </w:p>
    <w:p w:rsidR="00210ED0" w:rsidRPr="00CC21B6" w:rsidRDefault="00210ED0" w:rsidP="00210ED0">
      <w:pPr>
        <w:jc w:val="center"/>
        <w:outlineLvl w:val="0"/>
        <w:rPr>
          <w:color w:val="000000"/>
          <w:sz w:val="28"/>
          <w:szCs w:val="28"/>
        </w:rPr>
      </w:pPr>
    </w:p>
    <w:p w:rsidR="001734D9" w:rsidRPr="00D713A2" w:rsidRDefault="001734D9" w:rsidP="001734D9">
      <w:pPr>
        <w:pBdr>
          <w:top w:val="nil"/>
          <w:left w:val="nil"/>
          <w:bottom w:val="nil"/>
          <w:right w:val="nil"/>
          <w:between w:val="nil"/>
        </w:pBdr>
        <w:ind w:firstLine="357"/>
        <w:jc w:val="center"/>
        <w:rPr>
          <w:b/>
          <w:color w:val="000000"/>
        </w:rPr>
      </w:pPr>
      <w:r w:rsidRPr="00D713A2">
        <w:rPr>
          <w:b/>
          <w:color w:val="000000"/>
        </w:rPr>
        <w:t>ТЕХНІЧНІ ВИМОГИ</w:t>
      </w:r>
    </w:p>
    <w:p w:rsidR="00B64A51" w:rsidRPr="00D713A2" w:rsidRDefault="00B64A51" w:rsidP="001734D9">
      <w:pPr>
        <w:pBdr>
          <w:top w:val="nil"/>
          <w:left w:val="nil"/>
          <w:bottom w:val="nil"/>
          <w:right w:val="nil"/>
          <w:between w:val="nil"/>
        </w:pBdr>
        <w:ind w:firstLine="357"/>
        <w:jc w:val="center"/>
        <w:rPr>
          <w:b/>
          <w:color w:val="000000"/>
        </w:rPr>
      </w:pPr>
    </w:p>
    <w:p w:rsidR="00D713A2" w:rsidRPr="00D713A2" w:rsidRDefault="00D713A2" w:rsidP="00D713A2">
      <w:pPr>
        <w:ind w:firstLine="851"/>
        <w:jc w:val="both"/>
        <w:rPr>
          <w:sz w:val="28"/>
          <w:lang w:eastAsia="en-US"/>
        </w:rPr>
      </w:pPr>
      <w:r w:rsidRPr="00D713A2">
        <w:rPr>
          <w:sz w:val="28"/>
          <w:lang w:eastAsia="en-US"/>
        </w:rPr>
        <w:t>При проектуванні та будівництві об’єкта, Виконавець надає такі послуги:</w:t>
      </w:r>
    </w:p>
    <w:p w:rsidR="00D713A2" w:rsidRPr="00D713A2" w:rsidRDefault="00D713A2" w:rsidP="00D713A2">
      <w:pPr>
        <w:numPr>
          <w:ilvl w:val="0"/>
          <w:numId w:val="48"/>
        </w:numPr>
        <w:ind w:left="0" w:firstLine="851"/>
        <w:jc w:val="both"/>
        <w:rPr>
          <w:sz w:val="28"/>
          <w:lang w:eastAsia="en-US"/>
        </w:rPr>
      </w:pPr>
      <w:r w:rsidRPr="00D713A2">
        <w:rPr>
          <w:sz w:val="28"/>
          <w:lang w:eastAsia="en-US"/>
        </w:rPr>
        <w:t>консультування Замовника з питань залучення проектних та підрядних організацій, вибору постачальників,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rsidR="00D713A2" w:rsidRPr="00D713A2" w:rsidRDefault="00D713A2" w:rsidP="00D713A2">
      <w:pPr>
        <w:numPr>
          <w:ilvl w:val="0"/>
          <w:numId w:val="48"/>
        </w:numPr>
        <w:ind w:left="0" w:firstLine="851"/>
        <w:jc w:val="both"/>
        <w:rPr>
          <w:sz w:val="28"/>
          <w:lang w:eastAsia="en-US"/>
        </w:rPr>
      </w:pPr>
      <w:r w:rsidRPr="00D713A2">
        <w:rPr>
          <w:sz w:val="28"/>
          <w:lang w:eastAsia="en-US"/>
        </w:rPr>
        <w:t>аналіз проблем, спорів і претензій, що виникають під час проектування та будівництва, розроблення пропозицій щодо їх усунення, вжиття заходів для досудового врегулювання спорів, у т.ч. медіація;</w:t>
      </w:r>
    </w:p>
    <w:p w:rsidR="00D713A2" w:rsidRPr="00D713A2" w:rsidRDefault="00D713A2" w:rsidP="00D713A2">
      <w:pPr>
        <w:numPr>
          <w:ilvl w:val="0"/>
          <w:numId w:val="48"/>
        </w:numPr>
        <w:ind w:left="0" w:firstLine="851"/>
        <w:jc w:val="both"/>
        <w:rPr>
          <w:sz w:val="28"/>
          <w:lang w:eastAsia="en-US"/>
        </w:rPr>
      </w:pPr>
      <w:r w:rsidRPr="00D713A2">
        <w:rPr>
          <w:sz w:val="28"/>
          <w:lang w:eastAsia="en-US"/>
        </w:rPr>
        <w:t>здійснення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w:t>
      </w:r>
    </w:p>
    <w:p w:rsidR="00D713A2" w:rsidRPr="00D713A2" w:rsidRDefault="00D713A2" w:rsidP="00D713A2">
      <w:pPr>
        <w:numPr>
          <w:ilvl w:val="0"/>
          <w:numId w:val="48"/>
        </w:numPr>
        <w:ind w:left="0" w:firstLine="851"/>
        <w:jc w:val="both"/>
        <w:rPr>
          <w:sz w:val="28"/>
          <w:lang w:eastAsia="en-US"/>
        </w:rPr>
      </w:pPr>
      <w:r w:rsidRPr="00D713A2">
        <w:rPr>
          <w:sz w:val="28"/>
          <w:lang w:eastAsia="en-US"/>
        </w:rPr>
        <w:t>участь у виконанні передпроектних робіт, отриманні вихідних даних, підготовці завдання на проектування, матеріалів для проведення оцінки впливу на довкілля;</w:t>
      </w:r>
    </w:p>
    <w:p w:rsidR="00D713A2" w:rsidRPr="00D713A2" w:rsidRDefault="00D713A2" w:rsidP="00D713A2">
      <w:pPr>
        <w:numPr>
          <w:ilvl w:val="0"/>
          <w:numId w:val="48"/>
        </w:numPr>
        <w:ind w:left="0" w:firstLine="851"/>
        <w:jc w:val="both"/>
        <w:rPr>
          <w:sz w:val="28"/>
          <w:lang w:eastAsia="en-US"/>
        </w:rPr>
      </w:pPr>
      <w:r w:rsidRPr="00D713A2">
        <w:rPr>
          <w:sz w:val="28"/>
          <w:lang w:eastAsia="en-US"/>
        </w:rPr>
        <w:t>аналіз вихідних даних, надання Замовнику пропозицій щодо кількості стадій проектування, черг будівництва, удосконалення проектних рішень, методів виконання робіт, організації будівництва, вибору будівельної продукції та обладнання, супроводження розроблення та експертизи проектної документації на всіх стадіях проектування;</w:t>
      </w:r>
    </w:p>
    <w:p w:rsidR="00D713A2" w:rsidRPr="00D713A2" w:rsidRDefault="00D713A2" w:rsidP="00D713A2">
      <w:pPr>
        <w:numPr>
          <w:ilvl w:val="0"/>
          <w:numId w:val="48"/>
        </w:numPr>
        <w:ind w:left="0" w:firstLine="851"/>
        <w:jc w:val="both"/>
        <w:rPr>
          <w:sz w:val="28"/>
          <w:lang w:eastAsia="en-US"/>
        </w:rPr>
      </w:pPr>
      <w:r w:rsidRPr="00D713A2">
        <w:rPr>
          <w:sz w:val="28"/>
          <w:lang w:eastAsia="en-US"/>
        </w:rPr>
        <w:lastRenderedPageBreak/>
        <w:t>аналіз проектної документації та за необхідності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rsidR="00D713A2" w:rsidRPr="00D713A2" w:rsidRDefault="00D713A2" w:rsidP="00D713A2">
      <w:pPr>
        <w:numPr>
          <w:ilvl w:val="0"/>
          <w:numId w:val="48"/>
        </w:numPr>
        <w:ind w:left="0" w:firstLine="851"/>
        <w:jc w:val="both"/>
        <w:rPr>
          <w:sz w:val="28"/>
          <w:lang w:eastAsia="en-US"/>
        </w:rPr>
      </w:pPr>
      <w:r w:rsidRPr="00D713A2">
        <w:rPr>
          <w:sz w:val="28"/>
          <w:lang w:eastAsia="en-US"/>
        </w:rPr>
        <w:t>моніторинг дотримання Підрядником графіків виконання робіт, витрат, відповідності будівництва графікам фінансування;</w:t>
      </w:r>
    </w:p>
    <w:p w:rsidR="00D713A2" w:rsidRPr="00D713A2" w:rsidRDefault="00D713A2" w:rsidP="00D713A2">
      <w:pPr>
        <w:numPr>
          <w:ilvl w:val="0"/>
          <w:numId w:val="48"/>
        </w:numPr>
        <w:ind w:left="0" w:firstLine="851"/>
        <w:jc w:val="both"/>
        <w:rPr>
          <w:sz w:val="28"/>
          <w:lang w:eastAsia="en-US"/>
        </w:rPr>
      </w:pPr>
      <w:r w:rsidRPr="00D713A2">
        <w:rPr>
          <w:sz w:val="28"/>
          <w:lang w:eastAsia="en-US"/>
        </w:rPr>
        <w:t>інформування Замовника про наявність проблемних питань, які  виникли або можуть виникнути в ході виконання робіт;</w:t>
      </w:r>
    </w:p>
    <w:p w:rsidR="00D713A2" w:rsidRPr="00D713A2" w:rsidRDefault="00D713A2" w:rsidP="00D713A2">
      <w:pPr>
        <w:numPr>
          <w:ilvl w:val="0"/>
          <w:numId w:val="48"/>
        </w:numPr>
        <w:ind w:left="0" w:firstLine="851"/>
        <w:jc w:val="both"/>
        <w:rPr>
          <w:sz w:val="28"/>
          <w:lang w:eastAsia="en-US"/>
        </w:rPr>
      </w:pPr>
      <w:r w:rsidRPr="00D713A2">
        <w:rPr>
          <w:sz w:val="28"/>
          <w:lang w:eastAsia="en-US"/>
        </w:rPr>
        <w:t>надання Підряднику рекомендацій щодо усунення порушень під час виконання робіт та контроль за ходом виконання таких рекомендацій;</w:t>
      </w:r>
    </w:p>
    <w:p w:rsidR="00D713A2" w:rsidRPr="00D713A2" w:rsidRDefault="00D713A2" w:rsidP="00D713A2">
      <w:pPr>
        <w:numPr>
          <w:ilvl w:val="0"/>
          <w:numId w:val="48"/>
        </w:numPr>
        <w:ind w:left="0" w:firstLine="851"/>
        <w:jc w:val="both"/>
        <w:rPr>
          <w:sz w:val="28"/>
          <w:lang w:eastAsia="en-US"/>
        </w:rPr>
      </w:pPr>
      <w:r w:rsidRPr="00D713A2">
        <w:rPr>
          <w:sz w:val="28"/>
          <w:lang w:eastAsia="en-US"/>
        </w:rPr>
        <w:t>розгляд наданих Підрядником пропозицій щодо продовження строків виконання робіт, необхідності виконання додаткових робіт;</w:t>
      </w:r>
    </w:p>
    <w:p w:rsidR="00D713A2" w:rsidRPr="00D713A2" w:rsidRDefault="00D713A2" w:rsidP="00D713A2">
      <w:pPr>
        <w:numPr>
          <w:ilvl w:val="0"/>
          <w:numId w:val="48"/>
        </w:numPr>
        <w:ind w:left="0" w:firstLine="851"/>
        <w:jc w:val="both"/>
        <w:rPr>
          <w:sz w:val="28"/>
          <w:lang w:eastAsia="en-US"/>
        </w:rPr>
      </w:pPr>
      <w:r w:rsidRPr="00D713A2">
        <w:rPr>
          <w:sz w:val="28"/>
          <w:lang w:eastAsia="en-US"/>
        </w:rPr>
        <w:t>внесення Замовнику пропозицій щодо розірвання в установленому порядку договорів з підрядниками, які систематично порушують умови договору підряду;</w:t>
      </w:r>
    </w:p>
    <w:p w:rsidR="00D713A2" w:rsidRPr="00D713A2" w:rsidRDefault="00D713A2" w:rsidP="00D713A2">
      <w:pPr>
        <w:numPr>
          <w:ilvl w:val="0"/>
          <w:numId w:val="48"/>
        </w:numPr>
        <w:ind w:left="0" w:firstLine="851"/>
        <w:jc w:val="both"/>
        <w:rPr>
          <w:sz w:val="28"/>
          <w:lang w:eastAsia="en-US"/>
        </w:rPr>
      </w:pPr>
      <w:r w:rsidRPr="00D713A2">
        <w:rPr>
          <w:sz w:val="28"/>
          <w:lang w:eastAsia="en-US"/>
        </w:rPr>
        <w:t>ведення обліку обсягів прийнятих і оплачених проектних робіт;</w:t>
      </w:r>
    </w:p>
    <w:p w:rsidR="00D713A2" w:rsidRPr="00D713A2" w:rsidRDefault="00D713A2" w:rsidP="00D713A2">
      <w:pPr>
        <w:numPr>
          <w:ilvl w:val="0"/>
          <w:numId w:val="48"/>
        </w:numPr>
        <w:ind w:left="0" w:firstLine="851"/>
        <w:jc w:val="both"/>
        <w:rPr>
          <w:sz w:val="28"/>
          <w:lang w:eastAsia="en-US"/>
        </w:rPr>
      </w:pPr>
      <w:r w:rsidRPr="00D713A2">
        <w:rPr>
          <w:sz w:val="28"/>
          <w:lang w:eastAsia="en-US"/>
        </w:rPr>
        <w:t>супровід проектно-кошторисної документації при поданні на отримання позитивного висновку експертизи</w:t>
      </w:r>
    </w:p>
    <w:p w:rsidR="00D713A2" w:rsidRPr="00D713A2" w:rsidRDefault="00D713A2" w:rsidP="00D713A2">
      <w:pPr>
        <w:numPr>
          <w:ilvl w:val="0"/>
          <w:numId w:val="48"/>
        </w:numPr>
        <w:ind w:left="0" w:firstLine="851"/>
        <w:jc w:val="both"/>
        <w:rPr>
          <w:sz w:val="28"/>
          <w:lang w:eastAsia="en-US"/>
        </w:rPr>
      </w:pPr>
      <w:r w:rsidRPr="00D713A2">
        <w:rPr>
          <w:sz w:val="28"/>
          <w:lang w:eastAsia="en-US"/>
        </w:rPr>
        <w:t>підписання із завіренням печаткою актів приймання виконаних проектних робіт за формою _____, які підписані, завірені та надані Підрядником, та подання їх Замовнику для оплати;</w:t>
      </w:r>
    </w:p>
    <w:p w:rsidR="00D713A2" w:rsidRDefault="00D713A2" w:rsidP="00D713A2">
      <w:pPr>
        <w:numPr>
          <w:ilvl w:val="0"/>
          <w:numId w:val="48"/>
        </w:numPr>
        <w:ind w:left="0" w:firstLine="851"/>
        <w:jc w:val="both"/>
        <w:rPr>
          <w:sz w:val="28"/>
          <w:lang w:eastAsia="en-US"/>
        </w:rPr>
      </w:pPr>
      <w:r w:rsidRPr="00D713A2">
        <w:rPr>
          <w:sz w:val="28"/>
          <w:lang w:eastAsia="en-US"/>
        </w:rPr>
        <w:t>прийняття від імені Замовника відповідних рішень та виконання інших функцій, визначених цим Договором та законодавством.</w:t>
      </w:r>
    </w:p>
    <w:p w:rsidR="00D713A2" w:rsidRPr="00D713A2" w:rsidRDefault="00D713A2" w:rsidP="00D713A2">
      <w:pPr>
        <w:ind w:left="851"/>
        <w:jc w:val="both"/>
        <w:rPr>
          <w:sz w:val="28"/>
          <w:lang w:eastAsia="en-US"/>
        </w:rPr>
      </w:pPr>
    </w:p>
    <w:p w:rsidR="00D713A2" w:rsidRDefault="00D713A2" w:rsidP="00D713A2">
      <w:pPr>
        <w:keepNext/>
        <w:keepLines/>
        <w:ind w:firstLine="851"/>
        <w:jc w:val="both"/>
        <w:rPr>
          <w:rFonts w:eastAsia="Arial Unicode MS"/>
          <w:b/>
          <w:color w:val="000000"/>
          <w:sz w:val="28"/>
        </w:rPr>
      </w:pPr>
      <w:r w:rsidRPr="00D713A2">
        <w:rPr>
          <w:rFonts w:eastAsia="Arial Unicode MS"/>
          <w:b/>
          <w:color w:val="000000"/>
          <w:sz w:val="28"/>
        </w:rPr>
        <w:t xml:space="preserve">На підтвердження відповідності тендерної </w:t>
      </w:r>
      <w:r w:rsidRPr="00D713A2">
        <w:rPr>
          <w:b/>
          <w:color w:val="000000"/>
          <w:sz w:val="28"/>
        </w:rPr>
        <w:t>пропозиції технічним вимогам до предмета закупівлі, у</w:t>
      </w:r>
      <w:r w:rsidRPr="00D713A2">
        <w:rPr>
          <w:rFonts w:eastAsia="Arial Unicode MS"/>
          <w:b/>
          <w:color w:val="000000"/>
          <w:sz w:val="28"/>
        </w:rPr>
        <w:t xml:space="preserve">часником у складі тендерної </w:t>
      </w:r>
      <w:r w:rsidRPr="00D713A2">
        <w:rPr>
          <w:b/>
          <w:color w:val="000000"/>
          <w:sz w:val="28"/>
        </w:rPr>
        <w:t xml:space="preserve">пропозиції </w:t>
      </w:r>
      <w:r w:rsidRPr="00D713A2">
        <w:rPr>
          <w:rFonts w:eastAsia="Arial Unicode MS"/>
          <w:b/>
          <w:color w:val="000000"/>
          <w:sz w:val="28"/>
        </w:rPr>
        <w:t>надається:</w:t>
      </w:r>
    </w:p>
    <w:p w:rsidR="00D713A2" w:rsidRPr="00D713A2" w:rsidRDefault="00D713A2" w:rsidP="00D713A2">
      <w:pPr>
        <w:keepNext/>
        <w:keepLines/>
        <w:ind w:firstLine="851"/>
        <w:jc w:val="both"/>
        <w:rPr>
          <w:rFonts w:eastAsia="Arial Unicode MS"/>
          <w:b/>
          <w:color w:val="000000"/>
          <w:sz w:val="28"/>
        </w:rPr>
      </w:pPr>
      <w:bookmarkStart w:id="0" w:name="_GoBack"/>
      <w:bookmarkEnd w:id="0"/>
    </w:p>
    <w:p w:rsidR="00D713A2" w:rsidRPr="00D713A2" w:rsidRDefault="00D713A2" w:rsidP="00D713A2">
      <w:pPr>
        <w:numPr>
          <w:ilvl w:val="1"/>
          <w:numId w:val="47"/>
        </w:numPr>
        <w:pBdr>
          <w:top w:val="nil"/>
          <w:left w:val="nil"/>
          <w:bottom w:val="nil"/>
          <w:right w:val="nil"/>
          <w:between w:val="nil"/>
        </w:pBdr>
        <w:tabs>
          <w:tab w:val="left" w:pos="0"/>
        </w:tabs>
        <w:ind w:left="0" w:firstLine="851"/>
        <w:jc w:val="both"/>
        <w:rPr>
          <w:color w:val="000000"/>
          <w:sz w:val="28"/>
        </w:rPr>
      </w:pPr>
      <w:r w:rsidRPr="00D713A2">
        <w:rPr>
          <w:color w:val="000000"/>
          <w:sz w:val="28"/>
        </w:rPr>
        <w:t>Копія сертифікату ISO 9001:2015 Системи управління якістю. Вимоги (ДСТУ ISO 9001:2015 (ISO 9001:2015, IDT); Обов’язково надати ЗВІТ ПРО АУДИТ за результатами сертифікаційного аудиту;</w:t>
      </w:r>
    </w:p>
    <w:p w:rsidR="00D713A2" w:rsidRPr="00D713A2" w:rsidRDefault="00D713A2" w:rsidP="00D713A2">
      <w:pPr>
        <w:numPr>
          <w:ilvl w:val="1"/>
          <w:numId w:val="47"/>
        </w:numPr>
        <w:pBdr>
          <w:top w:val="nil"/>
          <w:left w:val="nil"/>
          <w:bottom w:val="nil"/>
          <w:right w:val="nil"/>
          <w:between w:val="nil"/>
        </w:pBdr>
        <w:tabs>
          <w:tab w:val="left" w:pos="851"/>
          <w:tab w:val="left" w:pos="993"/>
          <w:tab w:val="left" w:pos="1418"/>
        </w:tabs>
        <w:ind w:left="0" w:firstLine="851"/>
        <w:jc w:val="both"/>
        <w:rPr>
          <w:color w:val="000000"/>
          <w:sz w:val="28"/>
        </w:rPr>
      </w:pPr>
      <w:r w:rsidRPr="00D713A2">
        <w:rPr>
          <w:color w:val="000000"/>
          <w:sz w:val="28"/>
        </w:rPr>
        <w:t>Копія сертифікату ISO 45001:2018 Системи управління охороною здоров'я і безпекою праці. Вимоги та настанови щодо застосування (ДСТУ ISO 45001:2019 (ISO 45001:2018, IDT) Обов’язково надати ЗВІТ ПРО АУДИТ за результатами сертифікаційного аудиту;</w:t>
      </w:r>
    </w:p>
    <w:p w:rsidR="00D713A2" w:rsidRPr="00D713A2" w:rsidRDefault="00D713A2" w:rsidP="00D713A2">
      <w:pPr>
        <w:numPr>
          <w:ilvl w:val="1"/>
          <w:numId w:val="47"/>
        </w:numPr>
        <w:pBdr>
          <w:top w:val="nil"/>
          <w:left w:val="nil"/>
          <w:bottom w:val="nil"/>
          <w:right w:val="nil"/>
          <w:between w:val="nil"/>
        </w:pBdr>
        <w:tabs>
          <w:tab w:val="left" w:pos="851"/>
          <w:tab w:val="left" w:pos="993"/>
          <w:tab w:val="left" w:pos="1418"/>
        </w:tabs>
        <w:ind w:left="0" w:firstLine="851"/>
        <w:jc w:val="both"/>
        <w:rPr>
          <w:color w:val="000000"/>
          <w:sz w:val="28"/>
        </w:rPr>
      </w:pPr>
      <w:r w:rsidRPr="00D713A2">
        <w:rPr>
          <w:color w:val="000000"/>
          <w:sz w:val="28"/>
        </w:rPr>
        <w:t xml:space="preserve"> Копія сертифікату ISO 14001:2015 (ДСТУ ISO 14001:2015) Обов’язково надати ЗВІТ ПРО АУДИТ за результатами сертифікаційного аудиту;</w:t>
      </w:r>
    </w:p>
    <w:p w:rsidR="00D713A2" w:rsidRPr="00D713A2" w:rsidRDefault="00D713A2" w:rsidP="00D713A2">
      <w:pPr>
        <w:numPr>
          <w:ilvl w:val="1"/>
          <w:numId w:val="47"/>
        </w:numPr>
        <w:pBdr>
          <w:top w:val="nil"/>
          <w:left w:val="nil"/>
          <w:bottom w:val="nil"/>
          <w:right w:val="nil"/>
          <w:between w:val="nil"/>
        </w:pBdr>
        <w:tabs>
          <w:tab w:val="left" w:pos="851"/>
          <w:tab w:val="left" w:pos="993"/>
          <w:tab w:val="left" w:pos="1418"/>
        </w:tabs>
        <w:ind w:left="0" w:firstLine="851"/>
        <w:jc w:val="both"/>
        <w:rPr>
          <w:color w:val="000000"/>
          <w:sz w:val="28"/>
        </w:rPr>
      </w:pPr>
      <w:r w:rsidRPr="00D713A2">
        <w:rPr>
          <w:color w:val="000000"/>
          <w:sz w:val="28"/>
        </w:rPr>
        <w:t xml:space="preserve"> Лист погодження із технічними вимогами відповідно до додатку </w:t>
      </w:r>
      <w:r w:rsidR="002855EE">
        <w:rPr>
          <w:color w:val="000000"/>
          <w:sz w:val="28"/>
        </w:rPr>
        <w:t>5</w:t>
      </w:r>
      <w:r w:rsidRPr="00D713A2">
        <w:rPr>
          <w:color w:val="000000"/>
          <w:sz w:val="28"/>
        </w:rPr>
        <w:t xml:space="preserve"> тендерної документації.</w:t>
      </w:r>
    </w:p>
    <w:p w:rsidR="00D713A2" w:rsidRPr="00D713A2" w:rsidRDefault="00D713A2" w:rsidP="00D713A2">
      <w:pPr>
        <w:pBdr>
          <w:top w:val="nil"/>
          <w:left w:val="nil"/>
          <w:bottom w:val="nil"/>
          <w:right w:val="nil"/>
          <w:between w:val="nil"/>
        </w:pBdr>
        <w:tabs>
          <w:tab w:val="left" w:pos="993"/>
          <w:tab w:val="left" w:pos="1276"/>
        </w:tabs>
        <w:ind w:firstLine="851"/>
        <w:jc w:val="both"/>
        <w:rPr>
          <w:color w:val="000000"/>
          <w:sz w:val="28"/>
        </w:rPr>
      </w:pPr>
    </w:p>
    <w:p w:rsidR="00D713A2" w:rsidRPr="00D713A2" w:rsidRDefault="00D713A2" w:rsidP="00D713A2">
      <w:pPr>
        <w:ind w:firstLine="851"/>
        <w:jc w:val="both"/>
        <w:rPr>
          <w:b/>
          <w:sz w:val="28"/>
        </w:rPr>
      </w:pPr>
    </w:p>
    <w:p w:rsidR="00F21E4B" w:rsidRPr="00D713A2" w:rsidRDefault="00F21E4B" w:rsidP="001734D9">
      <w:pPr>
        <w:pBdr>
          <w:top w:val="nil"/>
          <w:left w:val="nil"/>
          <w:bottom w:val="nil"/>
          <w:right w:val="nil"/>
          <w:between w:val="nil"/>
        </w:pBdr>
        <w:ind w:firstLine="357"/>
        <w:jc w:val="center"/>
        <w:rPr>
          <w:b/>
          <w:color w:val="000000"/>
          <w:sz w:val="28"/>
        </w:rPr>
      </w:pPr>
    </w:p>
    <w:sectPr w:rsidR="00F21E4B" w:rsidRPr="00D713A2" w:rsidSect="00DE6FB4">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57" w:rsidRDefault="00146E57">
      <w:r>
        <w:separator/>
      </w:r>
    </w:p>
  </w:endnote>
  <w:endnote w:type="continuationSeparator" w:id="0">
    <w:p w:rsidR="00146E57" w:rsidRDefault="0014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altName w:val=" 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57" w:rsidRDefault="00146E57">
      <w:r>
        <w:separator/>
      </w:r>
    </w:p>
  </w:footnote>
  <w:footnote w:type="continuationSeparator" w:id="0">
    <w:p w:rsidR="00146E57" w:rsidRDefault="00146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882BEFE"/>
    <w:lvl w:ilvl="0" w:tplc="0419000F">
      <w:start w:val="1"/>
      <w:numFmt w:val="decimal"/>
      <w:lvlText w:val="%1."/>
      <w:lvlJc w:val="left"/>
      <w:pPr>
        <w:tabs>
          <w:tab w:val="num" w:pos="540"/>
        </w:tabs>
        <w:ind w:left="54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3" w15:restartNumberingAfterBreak="0">
    <w:nsid w:val="08031698"/>
    <w:multiLevelType w:val="multilevel"/>
    <w:tmpl w:val="EFB0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6" w15:restartNumberingAfterBreak="0">
    <w:nsid w:val="184E0BD8"/>
    <w:multiLevelType w:val="multilevel"/>
    <w:tmpl w:val="334E87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8"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703852"/>
    <w:multiLevelType w:val="multilevel"/>
    <w:tmpl w:val="D08C0A22"/>
    <w:lvl w:ilvl="0">
      <w:start w:val="3"/>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475724"/>
    <w:multiLevelType w:val="multilevel"/>
    <w:tmpl w:val="F36E6A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959E6"/>
    <w:multiLevelType w:val="multilevel"/>
    <w:tmpl w:val="DECA8ABE"/>
    <w:lvl w:ilvl="0">
      <w:start w:val="14"/>
      <w:numFmt w:val="decimal"/>
      <w:lvlText w:val="%1."/>
      <w:lvlJc w:val="left"/>
      <w:pPr>
        <w:ind w:left="480" w:hanging="480"/>
      </w:pPr>
      <w:rPr>
        <w:rFonts w:hint="default"/>
      </w:rPr>
    </w:lvl>
    <w:lvl w:ilvl="1">
      <w:start w:val="1"/>
      <w:numFmt w:val="decimal"/>
      <w:lvlText w:val="%2."/>
      <w:lvlJc w:val="left"/>
      <w:pPr>
        <w:ind w:left="840" w:hanging="48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20"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22"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23"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5E6447D"/>
    <w:multiLevelType w:val="multilevel"/>
    <w:tmpl w:val="4A18DFD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B2B7111"/>
    <w:multiLevelType w:val="multilevel"/>
    <w:tmpl w:val="B09CE976"/>
    <w:lvl w:ilvl="0">
      <w:start w:val="1"/>
      <w:numFmt w:val="bullet"/>
      <w:lvlText w:val="-"/>
      <w:lvlJc w:val="left"/>
      <w:pPr>
        <w:ind w:left="509" w:hanging="360"/>
      </w:pPr>
      <w:rPr>
        <w:rFonts w:ascii="Times New Roman" w:eastAsia="Times New Roman" w:hAnsi="Times New Roman" w:cs="Times New Roman"/>
      </w:rPr>
    </w:lvl>
    <w:lvl w:ilvl="1">
      <w:start w:val="1"/>
      <w:numFmt w:val="bullet"/>
      <w:lvlText w:val="o"/>
      <w:lvlJc w:val="left"/>
      <w:pPr>
        <w:ind w:left="1229" w:hanging="360"/>
      </w:pPr>
      <w:rPr>
        <w:rFonts w:ascii="Courier New" w:eastAsia="Courier New" w:hAnsi="Courier New" w:cs="Courier New"/>
      </w:rPr>
    </w:lvl>
    <w:lvl w:ilvl="2">
      <w:start w:val="1"/>
      <w:numFmt w:val="bullet"/>
      <w:lvlText w:val="▪"/>
      <w:lvlJc w:val="left"/>
      <w:pPr>
        <w:ind w:left="1949" w:hanging="360"/>
      </w:pPr>
      <w:rPr>
        <w:rFonts w:ascii="Noto Sans Symbols" w:eastAsia="Noto Sans Symbols" w:hAnsi="Noto Sans Symbols" w:cs="Noto Sans Symbols"/>
      </w:rPr>
    </w:lvl>
    <w:lvl w:ilvl="3">
      <w:start w:val="1"/>
      <w:numFmt w:val="bullet"/>
      <w:lvlText w:val="●"/>
      <w:lvlJc w:val="left"/>
      <w:pPr>
        <w:ind w:left="2669" w:hanging="360"/>
      </w:pPr>
      <w:rPr>
        <w:rFonts w:ascii="Noto Sans Symbols" w:eastAsia="Noto Sans Symbols" w:hAnsi="Noto Sans Symbols" w:cs="Noto Sans Symbols"/>
      </w:rPr>
    </w:lvl>
    <w:lvl w:ilvl="4">
      <w:start w:val="1"/>
      <w:numFmt w:val="bullet"/>
      <w:lvlText w:val="o"/>
      <w:lvlJc w:val="left"/>
      <w:pPr>
        <w:ind w:left="3389" w:hanging="360"/>
      </w:pPr>
      <w:rPr>
        <w:rFonts w:ascii="Courier New" w:eastAsia="Courier New" w:hAnsi="Courier New" w:cs="Courier New"/>
      </w:rPr>
    </w:lvl>
    <w:lvl w:ilvl="5">
      <w:start w:val="1"/>
      <w:numFmt w:val="bullet"/>
      <w:lvlText w:val="▪"/>
      <w:lvlJc w:val="left"/>
      <w:pPr>
        <w:ind w:left="4109" w:hanging="360"/>
      </w:pPr>
      <w:rPr>
        <w:rFonts w:ascii="Noto Sans Symbols" w:eastAsia="Noto Sans Symbols" w:hAnsi="Noto Sans Symbols" w:cs="Noto Sans Symbols"/>
      </w:rPr>
    </w:lvl>
    <w:lvl w:ilvl="6">
      <w:start w:val="1"/>
      <w:numFmt w:val="bullet"/>
      <w:lvlText w:val="●"/>
      <w:lvlJc w:val="left"/>
      <w:pPr>
        <w:ind w:left="4829" w:hanging="360"/>
      </w:pPr>
      <w:rPr>
        <w:rFonts w:ascii="Noto Sans Symbols" w:eastAsia="Noto Sans Symbols" w:hAnsi="Noto Sans Symbols" w:cs="Noto Sans Symbols"/>
      </w:rPr>
    </w:lvl>
    <w:lvl w:ilvl="7">
      <w:start w:val="1"/>
      <w:numFmt w:val="bullet"/>
      <w:lvlText w:val="o"/>
      <w:lvlJc w:val="left"/>
      <w:pPr>
        <w:ind w:left="5549" w:hanging="360"/>
      </w:pPr>
      <w:rPr>
        <w:rFonts w:ascii="Courier New" w:eastAsia="Courier New" w:hAnsi="Courier New" w:cs="Courier New"/>
      </w:rPr>
    </w:lvl>
    <w:lvl w:ilvl="8">
      <w:start w:val="1"/>
      <w:numFmt w:val="bullet"/>
      <w:lvlText w:val="▪"/>
      <w:lvlJc w:val="left"/>
      <w:pPr>
        <w:ind w:left="6269" w:hanging="360"/>
      </w:pPr>
      <w:rPr>
        <w:rFonts w:ascii="Noto Sans Symbols" w:eastAsia="Noto Sans Symbols" w:hAnsi="Noto Sans Symbols" w:cs="Noto Sans Symbols"/>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1B2705"/>
    <w:multiLevelType w:val="multilevel"/>
    <w:tmpl w:val="4C28303C"/>
    <w:lvl w:ilvl="0">
      <w:start w:val="1"/>
      <w:numFmt w:val="decimal"/>
      <w:lvlText w:val="%1."/>
      <w:lvlJc w:val="left"/>
      <w:pPr>
        <w:ind w:left="390" w:hanging="390"/>
      </w:pPr>
      <w:rPr>
        <w:b/>
        <w:color w:val="000000"/>
      </w:rPr>
    </w:lvl>
    <w:lvl w:ilvl="1">
      <w:start w:val="1"/>
      <w:numFmt w:val="decimal"/>
      <w:lvlText w:val="%1.%2."/>
      <w:lvlJc w:val="left"/>
      <w:pPr>
        <w:ind w:left="5115" w:hanging="720"/>
      </w:pPr>
      <w:rPr>
        <w:b w:val="0"/>
        <w:color w:val="000000"/>
      </w:rPr>
    </w:lvl>
    <w:lvl w:ilvl="2">
      <w:start w:val="1"/>
      <w:numFmt w:val="decimal"/>
      <w:lvlText w:val="%1.%2.%3."/>
      <w:lvlJc w:val="left"/>
      <w:pPr>
        <w:ind w:left="6480" w:hanging="720"/>
      </w:pPr>
      <w:rPr>
        <w:color w:val="000000"/>
      </w:rPr>
    </w:lvl>
    <w:lvl w:ilvl="3">
      <w:start w:val="1"/>
      <w:numFmt w:val="decimal"/>
      <w:lvlText w:val="%1.%2.%3.%4."/>
      <w:lvlJc w:val="left"/>
      <w:pPr>
        <w:ind w:left="9720" w:hanging="1080"/>
      </w:pPr>
      <w:rPr>
        <w:color w:val="000000"/>
      </w:rPr>
    </w:lvl>
    <w:lvl w:ilvl="4">
      <w:start w:val="1"/>
      <w:numFmt w:val="decimal"/>
      <w:lvlText w:val="%1.%2.%3.%4.%5."/>
      <w:lvlJc w:val="left"/>
      <w:pPr>
        <w:ind w:left="12600" w:hanging="1080"/>
      </w:pPr>
      <w:rPr>
        <w:color w:val="000000"/>
      </w:rPr>
    </w:lvl>
    <w:lvl w:ilvl="5">
      <w:start w:val="1"/>
      <w:numFmt w:val="decimal"/>
      <w:lvlText w:val="%1.%2.%3.%4.%5.%6."/>
      <w:lvlJc w:val="left"/>
      <w:pPr>
        <w:ind w:left="15840" w:hanging="1440"/>
      </w:pPr>
      <w:rPr>
        <w:color w:val="000000"/>
      </w:rPr>
    </w:lvl>
    <w:lvl w:ilvl="6">
      <w:start w:val="1"/>
      <w:numFmt w:val="decimal"/>
      <w:lvlText w:val="%1.%2.%3.%4.%5.%6.%7."/>
      <w:lvlJc w:val="left"/>
      <w:pPr>
        <w:ind w:left="18720" w:hanging="1440"/>
      </w:pPr>
      <w:rPr>
        <w:color w:val="000000"/>
      </w:rPr>
    </w:lvl>
    <w:lvl w:ilvl="7">
      <w:start w:val="1"/>
      <w:numFmt w:val="decimal"/>
      <w:lvlText w:val="%1.%2.%3.%4.%5.%6.%7.%8."/>
      <w:lvlJc w:val="left"/>
      <w:pPr>
        <w:ind w:left="21960" w:hanging="1800"/>
      </w:pPr>
      <w:rPr>
        <w:color w:val="000000"/>
      </w:rPr>
    </w:lvl>
    <w:lvl w:ilvl="8">
      <w:start w:val="1"/>
      <w:numFmt w:val="decimal"/>
      <w:lvlText w:val="%1.%2.%3.%4.%5.%6.%7.%8.%9."/>
      <w:lvlJc w:val="left"/>
      <w:pPr>
        <w:ind w:left="24840" w:hanging="1800"/>
      </w:pPr>
      <w:rPr>
        <w:color w:val="000000"/>
      </w:rPr>
    </w:lvl>
  </w:abstractNum>
  <w:abstractNum w:abstractNumId="29"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30"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2"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33" w15:restartNumberingAfterBreak="0">
    <w:nsid w:val="5CAE589A"/>
    <w:multiLevelType w:val="multilevel"/>
    <w:tmpl w:val="CA92BE4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311" w:hanging="360"/>
      </w:pPr>
      <w:rPr>
        <w:rFonts w:ascii="Courier New" w:eastAsia="Courier New" w:hAnsi="Courier New" w:cs="Courier New"/>
      </w:rPr>
    </w:lvl>
    <w:lvl w:ilvl="2">
      <w:start w:val="1"/>
      <w:numFmt w:val="bullet"/>
      <w:lvlText w:val="▪"/>
      <w:lvlJc w:val="left"/>
      <w:pPr>
        <w:ind w:left="1031" w:hanging="360"/>
      </w:pPr>
      <w:rPr>
        <w:rFonts w:ascii="Noto Sans Symbols" w:eastAsia="Noto Sans Symbols" w:hAnsi="Noto Sans Symbols" w:cs="Noto Sans Symbols"/>
      </w:rPr>
    </w:lvl>
    <w:lvl w:ilvl="3">
      <w:start w:val="1"/>
      <w:numFmt w:val="bullet"/>
      <w:lvlText w:val="●"/>
      <w:lvlJc w:val="left"/>
      <w:pPr>
        <w:ind w:left="1751" w:hanging="360"/>
      </w:pPr>
      <w:rPr>
        <w:rFonts w:ascii="Noto Sans Symbols" w:eastAsia="Noto Sans Symbols" w:hAnsi="Noto Sans Symbols" w:cs="Noto Sans Symbols"/>
      </w:rPr>
    </w:lvl>
    <w:lvl w:ilvl="4">
      <w:start w:val="1"/>
      <w:numFmt w:val="bullet"/>
      <w:lvlText w:val="o"/>
      <w:lvlJc w:val="left"/>
      <w:pPr>
        <w:ind w:left="2471" w:hanging="360"/>
      </w:pPr>
      <w:rPr>
        <w:rFonts w:ascii="Courier New" w:eastAsia="Courier New" w:hAnsi="Courier New" w:cs="Courier New"/>
      </w:rPr>
    </w:lvl>
    <w:lvl w:ilvl="5">
      <w:start w:val="1"/>
      <w:numFmt w:val="bullet"/>
      <w:lvlText w:val="▪"/>
      <w:lvlJc w:val="left"/>
      <w:pPr>
        <w:ind w:left="3191" w:hanging="360"/>
      </w:pPr>
      <w:rPr>
        <w:rFonts w:ascii="Noto Sans Symbols" w:eastAsia="Noto Sans Symbols" w:hAnsi="Noto Sans Symbols" w:cs="Noto Sans Symbols"/>
      </w:rPr>
    </w:lvl>
    <w:lvl w:ilvl="6">
      <w:start w:val="1"/>
      <w:numFmt w:val="bullet"/>
      <w:lvlText w:val="●"/>
      <w:lvlJc w:val="left"/>
      <w:pPr>
        <w:ind w:left="3911" w:hanging="360"/>
      </w:pPr>
      <w:rPr>
        <w:rFonts w:ascii="Noto Sans Symbols" w:eastAsia="Noto Sans Symbols" w:hAnsi="Noto Sans Symbols" w:cs="Noto Sans Symbols"/>
      </w:rPr>
    </w:lvl>
    <w:lvl w:ilvl="7">
      <w:start w:val="1"/>
      <w:numFmt w:val="bullet"/>
      <w:lvlText w:val="o"/>
      <w:lvlJc w:val="left"/>
      <w:pPr>
        <w:ind w:left="4631" w:hanging="360"/>
      </w:pPr>
      <w:rPr>
        <w:rFonts w:ascii="Courier New" w:eastAsia="Courier New" w:hAnsi="Courier New" w:cs="Courier New"/>
      </w:rPr>
    </w:lvl>
    <w:lvl w:ilvl="8">
      <w:start w:val="1"/>
      <w:numFmt w:val="bullet"/>
      <w:lvlText w:val="▪"/>
      <w:lvlJc w:val="left"/>
      <w:pPr>
        <w:ind w:left="5351" w:hanging="360"/>
      </w:pPr>
      <w:rPr>
        <w:rFonts w:ascii="Noto Sans Symbols" w:eastAsia="Noto Sans Symbols" w:hAnsi="Noto Sans Symbols" w:cs="Noto Sans Symbols"/>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0E6E11"/>
    <w:multiLevelType w:val="multilevel"/>
    <w:tmpl w:val="8D30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7" w15:restartNumberingAfterBreak="0">
    <w:nsid w:val="68CD4BD8"/>
    <w:multiLevelType w:val="multilevel"/>
    <w:tmpl w:val="C7B8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725C0C67"/>
    <w:multiLevelType w:val="hybridMultilevel"/>
    <w:tmpl w:val="F6386BE0"/>
    <w:lvl w:ilvl="0" w:tplc="1000000F">
      <w:start w:val="1"/>
      <w:numFmt w:val="decimal"/>
      <w:lvlText w:val="%1."/>
      <w:lvlJc w:val="left"/>
      <w:pPr>
        <w:ind w:left="1140" w:hanging="360"/>
      </w:pPr>
    </w:lvl>
    <w:lvl w:ilvl="1" w:tplc="10000019" w:tentative="1">
      <w:start w:val="1"/>
      <w:numFmt w:val="lowerLetter"/>
      <w:lvlText w:val="%2."/>
      <w:lvlJc w:val="left"/>
      <w:pPr>
        <w:ind w:left="1860" w:hanging="360"/>
      </w:pPr>
    </w:lvl>
    <w:lvl w:ilvl="2" w:tplc="1000001B" w:tentative="1">
      <w:start w:val="1"/>
      <w:numFmt w:val="lowerRoman"/>
      <w:lvlText w:val="%3."/>
      <w:lvlJc w:val="right"/>
      <w:pPr>
        <w:ind w:left="2580" w:hanging="180"/>
      </w:pPr>
    </w:lvl>
    <w:lvl w:ilvl="3" w:tplc="1000000F" w:tentative="1">
      <w:start w:val="1"/>
      <w:numFmt w:val="decimal"/>
      <w:lvlText w:val="%4."/>
      <w:lvlJc w:val="left"/>
      <w:pPr>
        <w:ind w:left="3300" w:hanging="360"/>
      </w:pPr>
    </w:lvl>
    <w:lvl w:ilvl="4" w:tplc="10000019" w:tentative="1">
      <w:start w:val="1"/>
      <w:numFmt w:val="lowerLetter"/>
      <w:lvlText w:val="%5."/>
      <w:lvlJc w:val="left"/>
      <w:pPr>
        <w:ind w:left="4020" w:hanging="360"/>
      </w:pPr>
    </w:lvl>
    <w:lvl w:ilvl="5" w:tplc="1000001B" w:tentative="1">
      <w:start w:val="1"/>
      <w:numFmt w:val="lowerRoman"/>
      <w:lvlText w:val="%6."/>
      <w:lvlJc w:val="right"/>
      <w:pPr>
        <w:ind w:left="4740" w:hanging="180"/>
      </w:pPr>
    </w:lvl>
    <w:lvl w:ilvl="6" w:tplc="1000000F" w:tentative="1">
      <w:start w:val="1"/>
      <w:numFmt w:val="decimal"/>
      <w:lvlText w:val="%7."/>
      <w:lvlJc w:val="left"/>
      <w:pPr>
        <w:ind w:left="5460" w:hanging="360"/>
      </w:pPr>
    </w:lvl>
    <w:lvl w:ilvl="7" w:tplc="10000019" w:tentative="1">
      <w:start w:val="1"/>
      <w:numFmt w:val="lowerLetter"/>
      <w:lvlText w:val="%8."/>
      <w:lvlJc w:val="left"/>
      <w:pPr>
        <w:ind w:left="6180" w:hanging="360"/>
      </w:pPr>
    </w:lvl>
    <w:lvl w:ilvl="8" w:tplc="1000001B" w:tentative="1">
      <w:start w:val="1"/>
      <w:numFmt w:val="lowerRoman"/>
      <w:lvlText w:val="%9."/>
      <w:lvlJc w:val="right"/>
      <w:pPr>
        <w:ind w:left="6900" w:hanging="180"/>
      </w:p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15:restartNumberingAfterBreak="0">
    <w:nsid w:val="78F17E7E"/>
    <w:multiLevelType w:val="multilevel"/>
    <w:tmpl w:val="FF7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9521EB"/>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42"/>
  </w:num>
  <w:num w:numId="4">
    <w:abstractNumId w:val="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27"/>
  </w:num>
  <w:num w:numId="9">
    <w:abstractNumId w:val="9"/>
  </w:num>
  <w:num w:numId="10">
    <w:abstractNumId w:val="41"/>
  </w:num>
  <w:num w:numId="11">
    <w:abstractNumId w:val="13"/>
  </w:num>
  <w:num w:numId="12">
    <w:abstractNumId w:val="14"/>
  </w:num>
  <w:num w:numId="13">
    <w:abstractNumId w:val="4"/>
  </w:num>
  <w:num w:numId="14">
    <w:abstractNumId w:val="47"/>
  </w:num>
  <w:num w:numId="15">
    <w:abstractNumId w:val="38"/>
  </w:num>
  <w:num w:numId="16">
    <w:abstractNumId w:val="16"/>
  </w:num>
  <w:num w:numId="17">
    <w:abstractNumId w:val="20"/>
  </w:num>
  <w:num w:numId="18">
    <w:abstractNumId w:val="18"/>
  </w:num>
  <w:num w:numId="19">
    <w:abstractNumId w:val="24"/>
  </w:num>
  <w:num w:numId="20">
    <w:abstractNumId w:val="34"/>
  </w:num>
  <w:num w:numId="21">
    <w:abstractNumId w:val="32"/>
  </w:num>
  <w:num w:numId="22">
    <w:abstractNumId w:val="36"/>
  </w:num>
  <w:num w:numId="23">
    <w:abstractNumId w:val="29"/>
  </w:num>
  <w:num w:numId="24">
    <w:abstractNumId w:val="21"/>
  </w:num>
  <w:num w:numId="25">
    <w:abstractNumId w:val="8"/>
  </w:num>
  <w:num w:numId="26">
    <w:abstractNumId w:val="22"/>
  </w:num>
  <w:num w:numId="27">
    <w:abstractNumId w:val="19"/>
  </w:num>
  <w:num w:numId="28">
    <w:abstractNumId w:val="5"/>
  </w:num>
  <w:num w:numId="29">
    <w:abstractNumId w:val="2"/>
  </w:num>
  <w:num w:numId="30">
    <w:abstractNumId w:val="23"/>
  </w:num>
  <w:num w:numId="31">
    <w:abstractNumId w:val="46"/>
  </w:num>
  <w:num w:numId="32">
    <w:abstractNumId w:val="30"/>
  </w:num>
  <w:num w:numId="33">
    <w:abstractNumId w:val="12"/>
  </w:num>
  <w:num w:numId="34">
    <w:abstractNumId w:val="0"/>
  </w:num>
  <w:num w:numId="35">
    <w:abstractNumId w:val="44"/>
  </w:num>
  <w:num w:numId="36">
    <w:abstractNumId w:val="26"/>
  </w:num>
  <w:num w:numId="37">
    <w:abstractNumId w:val="28"/>
  </w:num>
  <w:num w:numId="38">
    <w:abstractNumId w:val="33"/>
  </w:num>
  <w:num w:numId="39">
    <w:abstractNumId w:val="6"/>
  </w:num>
  <w:num w:numId="40">
    <w:abstractNumId w:val="11"/>
  </w:num>
  <w:num w:numId="41">
    <w:abstractNumId w:val="25"/>
  </w:num>
  <w:num w:numId="42">
    <w:abstractNumId w:val="10"/>
  </w:num>
  <w:num w:numId="43">
    <w:abstractNumId w:val="35"/>
  </w:num>
  <w:num w:numId="44">
    <w:abstractNumId w:val="37"/>
  </w:num>
  <w:num w:numId="45">
    <w:abstractNumId w:val="3"/>
  </w:num>
  <w:num w:numId="46">
    <w:abstractNumId w:val="43"/>
  </w:num>
  <w:num w:numId="47">
    <w:abstractNumId w:val="15"/>
  </w:num>
  <w:num w:numId="48">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A5F41"/>
    <w:rsid w:val="000B0667"/>
    <w:rsid w:val="000B4D5B"/>
    <w:rsid w:val="000D1CAD"/>
    <w:rsid w:val="000E4C6D"/>
    <w:rsid w:val="001304FE"/>
    <w:rsid w:val="001412EF"/>
    <w:rsid w:val="00146E57"/>
    <w:rsid w:val="00165AA3"/>
    <w:rsid w:val="001734D9"/>
    <w:rsid w:val="00186174"/>
    <w:rsid w:val="00187CF1"/>
    <w:rsid w:val="001B18FD"/>
    <w:rsid w:val="001B3CE1"/>
    <w:rsid w:val="001B6B65"/>
    <w:rsid w:val="00210ED0"/>
    <w:rsid w:val="002120C6"/>
    <w:rsid w:val="00214AF4"/>
    <w:rsid w:val="0021683C"/>
    <w:rsid w:val="00217B29"/>
    <w:rsid w:val="00222D23"/>
    <w:rsid w:val="00227B87"/>
    <w:rsid w:val="002508BD"/>
    <w:rsid w:val="00261A8F"/>
    <w:rsid w:val="002659E0"/>
    <w:rsid w:val="002855EE"/>
    <w:rsid w:val="002B2615"/>
    <w:rsid w:val="002B4B95"/>
    <w:rsid w:val="002D3269"/>
    <w:rsid w:val="002D4ED7"/>
    <w:rsid w:val="0033036D"/>
    <w:rsid w:val="00347168"/>
    <w:rsid w:val="003570B9"/>
    <w:rsid w:val="00381862"/>
    <w:rsid w:val="00394086"/>
    <w:rsid w:val="003A12F6"/>
    <w:rsid w:val="003B1A1E"/>
    <w:rsid w:val="003B1AF9"/>
    <w:rsid w:val="003D1C23"/>
    <w:rsid w:val="00413BB6"/>
    <w:rsid w:val="004212C7"/>
    <w:rsid w:val="00427251"/>
    <w:rsid w:val="00435EB4"/>
    <w:rsid w:val="004367F2"/>
    <w:rsid w:val="00442A7E"/>
    <w:rsid w:val="00463FBF"/>
    <w:rsid w:val="004671CE"/>
    <w:rsid w:val="0047728B"/>
    <w:rsid w:val="00494E30"/>
    <w:rsid w:val="00496329"/>
    <w:rsid w:val="004A1D6F"/>
    <w:rsid w:val="004A5D58"/>
    <w:rsid w:val="004B6654"/>
    <w:rsid w:val="004D35F5"/>
    <w:rsid w:val="004E424B"/>
    <w:rsid w:val="004F0835"/>
    <w:rsid w:val="005049C2"/>
    <w:rsid w:val="00512225"/>
    <w:rsid w:val="0052448E"/>
    <w:rsid w:val="005253FC"/>
    <w:rsid w:val="00545799"/>
    <w:rsid w:val="0055343F"/>
    <w:rsid w:val="00556421"/>
    <w:rsid w:val="00561DF1"/>
    <w:rsid w:val="005729C8"/>
    <w:rsid w:val="005A7CC6"/>
    <w:rsid w:val="005E4CD1"/>
    <w:rsid w:val="0061352E"/>
    <w:rsid w:val="006169EB"/>
    <w:rsid w:val="00634EF3"/>
    <w:rsid w:val="00640010"/>
    <w:rsid w:val="00656A8D"/>
    <w:rsid w:val="00661352"/>
    <w:rsid w:val="0066341C"/>
    <w:rsid w:val="00671F9B"/>
    <w:rsid w:val="00673C4E"/>
    <w:rsid w:val="006826AA"/>
    <w:rsid w:val="006A6FBD"/>
    <w:rsid w:val="006B1B40"/>
    <w:rsid w:val="006C4B8A"/>
    <w:rsid w:val="006D6C4D"/>
    <w:rsid w:val="006E0591"/>
    <w:rsid w:val="006E2DAD"/>
    <w:rsid w:val="006F6F1E"/>
    <w:rsid w:val="006F7457"/>
    <w:rsid w:val="00716A52"/>
    <w:rsid w:val="00737CC3"/>
    <w:rsid w:val="00764C9E"/>
    <w:rsid w:val="0076742F"/>
    <w:rsid w:val="00786102"/>
    <w:rsid w:val="007950DD"/>
    <w:rsid w:val="007B3E08"/>
    <w:rsid w:val="007C763B"/>
    <w:rsid w:val="007D0504"/>
    <w:rsid w:val="007E5E90"/>
    <w:rsid w:val="007F6728"/>
    <w:rsid w:val="008075BE"/>
    <w:rsid w:val="00812B90"/>
    <w:rsid w:val="008503C2"/>
    <w:rsid w:val="008664C2"/>
    <w:rsid w:val="00867578"/>
    <w:rsid w:val="0089524D"/>
    <w:rsid w:val="008C6298"/>
    <w:rsid w:val="008E6E21"/>
    <w:rsid w:val="008F1932"/>
    <w:rsid w:val="008F774A"/>
    <w:rsid w:val="00915ECF"/>
    <w:rsid w:val="0091601F"/>
    <w:rsid w:val="00924ABC"/>
    <w:rsid w:val="00925FC3"/>
    <w:rsid w:val="009313A9"/>
    <w:rsid w:val="00982BD6"/>
    <w:rsid w:val="009A0055"/>
    <w:rsid w:val="009A659D"/>
    <w:rsid w:val="009C2482"/>
    <w:rsid w:val="009C2638"/>
    <w:rsid w:val="009C76D0"/>
    <w:rsid w:val="009E19B5"/>
    <w:rsid w:val="009F0036"/>
    <w:rsid w:val="009F1E43"/>
    <w:rsid w:val="00A01E53"/>
    <w:rsid w:val="00A15AB4"/>
    <w:rsid w:val="00A341CB"/>
    <w:rsid w:val="00A35016"/>
    <w:rsid w:val="00A35338"/>
    <w:rsid w:val="00A47514"/>
    <w:rsid w:val="00A75166"/>
    <w:rsid w:val="00A873C8"/>
    <w:rsid w:val="00AB54F4"/>
    <w:rsid w:val="00AC47D4"/>
    <w:rsid w:val="00AE11B8"/>
    <w:rsid w:val="00AE4D91"/>
    <w:rsid w:val="00B12705"/>
    <w:rsid w:val="00B30B60"/>
    <w:rsid w:val="00B33A35"/>
    <w:rsid w:val="00B33D8A"/>
    <w:rsid w:val="00B428C1"/>
    <w:rsid w:val="00B42CCA"/>
    <w:rsid w:val="00B46AFC"/>
    <w:rsid w:val="00B53529"/>
    <w:rsid w:val="00B64A51"/>
    <w:rsid w:val="00B71327"/>
    <w:rsid w:val="00BA3574"/>
    <w:rsid w:val="00BB0C5B"/>
    <w:rsid w:val="00BC27FD"/>
    <w:rsid w:val="00BC799A"/>
    <w:rsid w:val="00BC7C27"/>
    <w:rsid w:val="00C101BF"/>
    <w:rsid w:val="00C15624"/>
    <w:rsid w:val="00CA6926"/>
    <w:rsid w:val="00CB03E3"/>
    <w:rsid w:val="00D01062"/>
    <w:rsid w:val="00D11344"/>
    <w:rsid w:val="00D40CC1"/>
    <w:rsid w:val="00D6523A"/>
    <w:rsid w:val="00D713A2"/>
    <w:rsid w:val="00D90332"/>
    <w:rsid w:val="00DC1C3B"/>
    <w:rsid w:val="00DC2C24"/>
    <w:rsid w:val="00DE27B0"/>
    <w:rsid w:val="00DE3246"/>
    <w:rsid w:val="00DE6FB4"/>
    <w:rsid w:val="00E22AD3"/>
    <w:rsid w:val="00E242CB"/>
    <w:rsid w:val="00E57AC1"/>
    <w:rsid w:val="00E66A41"/>
    <w:rsid w:val="00E74B9C"/>
    <w:rsid w:val="00E75C03"/>
    <w:rsid w:val="00E83E8E"/>
    <w:rsid w:val="00E85C94"/>
    <w:rsid w:val="00EC0E37"/>
    <w:rsid w:val="00EC698B"/>
    <w:rsid w:val="00ED39C0"/>
    <w:rsid w:val="00ED5687"/>
    <w:rsid w:val="00EE40ED"/>
    <w:rsid w:val="00EF19C2"/>
    <w:rsid w:val="00F21E4B"/>
    <w:rsid w:val="00F310C2"/>
    <w:rsid w:val="00F31D9D"/>
    <w:rsid w:val="00F36396"/>
    <w:rsid w:val="00F5340B"/>
    <w:rsid w:val="00F64161"/>
    <w:rsid w:val="00F64E56"/>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FBB8"/>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99"/>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99"/>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5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character" w:customStyle="1" w:styleId="af5">
    <w:name w:val="Основной текст_"/>
    <w:link w:val="8"/>
    <w:rsid w:val="00B64A51"/>
    <w:rPr>
      <w:rFonts w:ascii="Times New Roman" w:hAnsi="Times New Roman" w:cs="Times New Roman"/>
      <w:sz w:val="23"/>
      <w:szCs w:val="23"/>
      <w:shd w:val="clear" w:color="auto" w:fill="FFFFFF"/>
    </w:rPr>
  </w:style>
  <w:style w:type="paragraph" w:customStyle="1" w:styleId="8">
    <w:name w:val="Основной текст8"/>
    <w:basedOn w:val="a2"/>
    <w:link w:val="af5"/>
    <w:rsid w:val="00B64A51"/>
    <w:pPr>
      <w:widowControl w:val="0"/>
      <w:shd w:val="clear" w:color="auto" w:fill="FFFFFF"/>
      <w:spacing w:before="540" w:after="300" w:line="0" w:lineRule="atLeast"/>
      <w:ind w:hanging="360"/>
      <w:jc w:val="both"/>
    </w:pPr>
    <w:rPr>
      <w:rFonts w:eastAsiaTheme="minorHAnsi"/>
      <w:sz w:val="23"/>
      <w:szCs w:val="23"/>
      <w:lang w:eastAsia="en-US"/>
    </w:rPr>
  </w:style>
  <w:style w:type="paragraph" w:styleId="af6">
    <w:name w:val="No Spacing"/>
    <w:link w:val="af7"/>
    <w:uiPriority w:val="99"/>
    <w:qFormat/>
    <w:rsid w:val="00F21E4B"/>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af7">
    <w:name w:val="Без интервала Знак"/>
    <w:link w:val="af6"/>
    <w:uiPriority w:val="99"/>
    <w:locked/>
    <w:rsid w:val="00F21E4B"/>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2912</Words>
  <Characters>1661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Olga Zharkova</cp:lastModifiedBy>
  <cp:revision>3</cp:revision>
  <cp:lastPrinted>2024-03-29T10:57:00Z</cp:lastPrinted>
  <dcterms:created xsi:type="dcterms:W3CDTF">2024-03-28T13:21:00Z</dcterms:created>
  <dcterms:modified xsi:type="dcterms:W3CDTF">2024-03-29T10:57:00Z</dcterms:modified>
</cp:coreProperties>
</file>