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7E8E" w14:textId="77777777" w:rsidR="00B36B07" w:rsidRPr="00B56F4B" w:rsidRDefault="006B4C3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F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  </w:t>
      </w:r>
      <w:r w:rsidR="00DF76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</w:p>
    <w:p w14:paraId="09A3DD2A" w14:textId="77777777" w:rsidR="00B36B07" w:rsidRDefault="006B4C3D" w:rsidP="004A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F4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  <w:r w:rsidRPr="00B56F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E685AFD" w14:textId="77777777" w:rsidR="000971D7" w:rsidRPr="00B56F4B" w:rsidRDefault="000971D7" w:rsidP="004A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7787BC" w14:textId="77777777" w:rsidR="00C365D1" w:rsidRDefault="006B4C3D" w:rsidP="006B756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</w:t>
      </w:r>
    </w:p>
    <w:p w14:paraId="689EF975" w14:textId="77777777" w:rsidR="00305533" w:rsidRPr="00C365D1" w:rsidRDefault="006B4C3D" w:rsidP="006B75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  <w:t>закупівлі</w:t>
      </w:r>
      <w:r w:rsidR="00C365D1" w:rsidRPr="00C365D1">
        <w:rPr>
          <w:rFonts w:ascii="Times New Roman" w:hAnsi="Times New Roman" w:cs="Times New Roman"/>
          <w:b/>
        </w:rPr>
        <w:t xml:space="preserve"> Засоби для довготривалого зберігання архівних матеріалів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  <w:t xml:space="preserve"> — технічні вимоги до предмета закупівлі</w:t>
      </w:r>
    </w:p>
    <w:p w14:paraId="35D4E641" w14:textId="77777777" w:rsidR="006B7565" w:rsidRDefault="006E20DE" w:rsidP="006B75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7746">
        <w:rPr>
          <w:rFonts w:ascii="Times New Roman" w:hAnsi="Times New Roman" w:cs="Times New Roman"/>
          <w:bCs/>
          <w:sz w:val="24"/>
          <w:szCs w:val="24"/>
        </w:rPr>
        <w:t>за  код</w:t>
      </w:r>
      <w:r w:rsidR="008B6B32" w:rsidRPr="001D7746">
        <w:rPr>
          <w:rFonts w:ascii="Times New Roman" w:hAnsi="Times New Roman" w:cs="Times New Roman"/>
          <w:bCs/>
          <w:sz w:val="24"/>
          <w:szCs w:val="24"/>
        </w:rPr>
        <w:t>о</w:t>
      </w:r>
      <w:r w:rsidRPr="001D7746">
        <w:rPr>
          <w:rFonts w:ascii="Times New Roman" w:hAnsi="Times New Roman" w:cs="Times New Roman"/>
          <w:bCs/>
          <w:sz w:val="24"/>
          <w:szCs w:val="24"/>
        </w:rPr>
        <w:t>м</w:t>
      </w:r>
      <w:r w:rsidR="008B6B32" w:rsidRPr="001D77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національного класифікатора України</w:t>
      </w:r>
      <w:r w:rsidR="006B7565" w:rsidRPr="006B7565">
        <w:rPr>
          <w:rFonts w:ascii="Times New Roman" w:hAnsi="Times New Roman" w:cs="Times New Roman"/>
          <w:sz w:val="23"/>
          <w:szCs w:val="23"/>
        </w:rPr>
        <w:t xml:space="preserve"> </w:t>
      </w:r>
      <w:r w:rsidR="006B7565" w:rsidRPr="000B1F18">
        <w:rPr>
          <w:rFonts w:ascii="Times New Roman" w:hAnsi="Times New Roman" w:cs="Times New Roman"/>
          <w:sz w:val="23"/>
          <w:szCs w:val="23"/>
        </w:rPr>
        <w:t>Єдиного закупівельного словника</w:t>
      </w:r>
    </w:p>
    <w:p w14:paraId="439222E8" w14:textId="77777777" w:rsidR="00933C1F" w:rsidRPr="00554439" w:rsidRDefault="008B6B32" w:rsidP="00554439">
      <w:pPr>
        <w:spacing w:after="0" w:line="240" w:lineRule="auto"/>
        <w:rPr>
          <w:rFonts w:ascii="Times New Roman" w:hAnsi="Times New Roman" w:cs="Times New Roman"/>
        </w:rPr>
      </w:pPr>
      <w:r w:rsidRPr="001D7746">
        <w:rPr>
          <w:iCs/>
        </w:rPr>
        <w:t>ДК 021:2015:</w:t>
      </w:r>
      <w:r w:rsidRPr="001D7746">
        <w:rPr>
          <w:shd w:val="clear" w:color="auto" w:fill="FDFEFD"/>
        </w:rPr>
        <w:t xml:space="preserve">  </w:t>
      </w:r>
      <w:r w:rsidR="00933C1F" w:rsidRPr="00554439">
        <w:rPr>
          <w:rFonts w:ascii="Times New Roman" w:hAnsi="Times New Roman" w:cs="Times New Roman"/>
        </w:rPr>
        <w:t>30190000-7 - Офісне устаткування та приладдя різне (деталізований CPV код</w:t>
      </w:r>
    </w:p>
    <w:p w14:paraId="5851E935" w14:textId="77777777" w:rsidR="00933C1F" w:rsidRPr="00554439" w:rsidRDefault="00933C1F" w:rsidP="00554439">
      <w:pPr>
        <w:spacing w:after="0" w:line="240" w:lineRule="auto"/>
        <w:rPr>
          <w:rFonts w:ascii="Times New Roman" w:hAnsi="Times New Roman" w:cs="Times New Roman"/>
        </w:rPr>
      </w:pPr>
      <w:r w:rsidRPr="00554439">
        <w:rPr>
          <w:rFonts w:ascii="Times New Roman" w:hAnsi="Times New Roman" w:cs="Times New Roman"/>
        </w:rPr>
        <w:t>(у т.ч. для лотів) та його назва ДК 021:2015: 30199500-5 - Сегрегатори, лотки для листів, коробки для зберігання паперів та подібне приладдя )</w:t>
      </w:r>
    </w:p>
    <w:p w14:paraId="596C88AB" w14:textId="77777777" w:rsidR="007F0701" w:rsidRPr="001D7746" w:rsidRDefault="007F0701" w:rsidP="00554439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</w:pPr>
    </w:p>
    <w:tbl>
      <w:tblPr>
        <w:tblStyle w:val="Style28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5528"/>
      </w:tblGrid>
      <w:tr w:rsidR="00B36B07" w:rsidRPr="00CF1947" w14:paraId="0A6CEE94" w14:textId="77777777" w:rsidTr="00305533">
        <w:trPr>
          <w:trHeight w:val="404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EFF9" w14:textId="77777777" w:rsidR="00B36B07" w:rsidRPr="00CF1947" w:rsidRDefault="006B4C3D" w:rsidP="007A0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F3DA" w14:textId="77777777" w:rsidR="00B36B07" w:rsidRPr="00C365D1" w:rsidRDefault="00C3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 w:rsidRPr="00C365D1">
              <w:rPr>
                <w:rFonts w:ascii="Times New Roman" w:hAnsi="Times New Roman" w:cs="Times New Roman"/>
                <w:b/>
              </w:rPr>
              <w:t>Засоби для довготривалого зберігання архівних матеріалів</w:t>
            </w:r>
          </w:p>
        </w:tc>
      </w:tr>
      <w:tr w:rsidR="00B36B07" w:rsidRPr="00CF1947" w14:paraId="118BAD41" w14:textId="77777777" w:rsidTr="00305533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6B53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1489" w14:textId="77777777" w:rsidR="00B36B07" w:rsidRPr="00554439" w:rsidRDefault="00CB5362" w:rsidP="00554439">
            <w:pPr>
              <w:rPr>
                <w:rFonts w:ascii="Times New Roman" w:hAnsi="Times New Roman" w:cs="Times New Roman"/>
                <w:highlight w:val="white"/>
              </w:rPr>
            </w:pPr>
            <w:r w:rsidRPr="00554439">
              <w:rPr>
                <w:rFonts w:ascii="Times New Roman" w:hAnsi="Times New Roman" w:cs="Times New Roman"/>
              </w:rPr>
              <w:t xml:space="preserve">30190000-7 - Офісне устаткування та приладдя різне </w:t>
            </w:r>
          </w:p>
        </w:tc>
      </w:tr>
      <w:tr w:rsidR="00B36B07" w:rsidRPr="00CF1947" w14:paraId="67454C54" w14:textId="77777777" w:rsidTr="00305533">
        <w:trPr>
          <w:trHeight w:val="1482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5627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F135" w14:textId="77777777" w:rsidR="00B36B07" w:rsidRPr="00554439" w:rsidRDefault="00CB5362" w:rsidP="00554439">
            <w:pPr>
              <w:rPr>
                <w:rFonts w:ascii="Times New Roman" w:hAnsi="Times New Roman" w:cs="Times New Roman"/>
              </w:rPr>
            </w:pPr>
            <w:r w:rsidRPr="00554439">
              <w:rPr>
                <w:rFonts w:ascii="Times New Roman" w:hAnsi="Times New Roman" w:cs="Times New Roman"/>
              </w:rPr>
              <w:t>ДК 021:2015: 30199500-5 - Сегрегатори, лотки для листів, коробки для зберігання паперів та подібне приладдя </w:t>
            </w:r>
          </w:p>
        </w:tc>
      </w:tr>
      <w:tr w:rsidR="00B36B07" w:rsidRPr="00CF1947" w14:paraId="3D55843C" w14:textId="77777777" w:rsidTr="00305533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16B1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highlight w:val="white"/>
              </w:rPr>
              <w:t xml:space="preserve">Кількість поставки товару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7EE3" w14:textId="41349BE6" w:rsidR="00C365D1" w:rsidRPr="001C08BC" w:rsidRDefault="00C365D1" w:rsidP="00AB65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highlight w:val="white"/>
              </w:rPr>
            </w:pPr>
            <w:r w:rsidRPr="00C63645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Лот №2 </w:t>
            </w:r>
            <w:r w:rsidR="00262079">
              <w:rPr>
                <w:rFonts w:ascii="Times New Roman" w:eastAsia="Times New Roman" w:hAnsi="Times New Roman" w:cs="Times New Roman"/>
                <w:b/>
                <w:i/>
                <w:iCs/>
              </w:rPr>
              <w:t>–</w:t>
            </w:r>
            <w:r w:rsidRPr="00C63645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="00AB6552">
              <w:rPr>
                <w:rFonts w:ascii="Times New Roman" w:eastAsia="Times New Roman" w:hAnsi="Times New Roman" w:cs="Times New Roman"/>
                <w:b/>
                <w:i/>
                <w:iCs/>
              </w:rPr>
              <w:t>1765</w:t>
            </w:r>
            <w:r w:rsidR="0026207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C63645">
              <w:rPr>
                <w:rFonts w:ascii="Times New Roman" w:eastAsia="Times New Roman" w:hAnsi="Times New Roman" w:cs="Times New Roman"/>
                <w:b/>
                <w:i/>
                <w:iCs/>
              </w:rPr>
              <w:t>шт</w:t>
            </w:r>
          </w:p>
        </w:tc>
      </w:tr>
      <w:tr w:rsidR="00B36B07" w:rsidRPr="00CF1947" w14:paraId="01EA4A58" w14:textId="77777777" w:rsidTr="00305533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CD5D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highlight w:val="white"/>
              </w:rPr>
              <w:t xml:space="preserve">Місце поставки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1AE9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hAnsi="Times New Roman"/>
                <w:color w:val="000000"/>
              </w:rPr>
              <w:t xml:space="preserve">04119, Україна, м. Київ, вулиця Юрія Іллєнка, 38 </w:t>
            </w:r>
          </w:p>
        </w:tc>
      </w:tr>
      <w:tr w:rsidR="00B36B07" w:rsidRPr="00CF1947" w14:paraId="7C8448C1" w14:textId="77777777" w:rsidTr="00305533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C273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Інформація про предмет закупівлі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D42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hAnsi="Times New Roman"/>
                <w:color w:val="000000"/>
              </w:rPr>
              <w:t xml:space="preserve">Товар </w:t>
            </w:r>
            <w:r w:rsidRPr="00CF1947">
              <w:rPr>
                <w:rFonts w:ascii="Times New Roman" w:eastAsia="Times New Roman" w:hAnsi="Times New Roman"/>
                <w:lang w:eastAsia="ru-RU"/>
              </w:rPr>
              <w:t xml:space="preserve">разом із супутніми послугами </w:t>
            </w:r>
          </w:p>
        </w:tc>
      </w:tr>
      <w:tr w:rsidR="00B36B07" w:rsidRPr="00CF1947" w14:paraId="2365117C" w14:textId="77777777" w:rsidTr="00305533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1703" w14:textId="77777777" w:rsidR="00B36B07" w:rsidRPr="00CF1947" w:rsidRDefault="006B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highlight w:val="white"/>
              </w:rPr>
              <w:t xml:space="preserve">Строк поставки товару 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B484" w14:textId="77777777" w:rsidR="00B36B07" w:rsidRPr="00CF1947" w:rsidRDefault="00CB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1C08BC">
              <w:rPr>
                <w:rFonts w:ascii="Times New Roman" w:eastAsia="Times New Roman" w:hAnsi="Times New Roman" w:cs="Times New Roman"/>
                <w:i/>
              </w:rPr>
              <w:t>31травня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2023</w:t>
            </w:r>
            <w:r w:rsidR="006B4C3D" w:rsidRPr="00CF194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B4C3D"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року включно</w:t>
            </w:r>
          </w:p>
        </w:tc>
      </w:tr>
    </w:tbl>
    <w:p w14:paraId="775C7A3D" w14:textId="77777777" w:rsidR="0083486C" w:rsidRPr="00BE6E82" w:rsidRDefault="0083486C" w:rsidP="00036251">
      <w:pPr>
        <w:spacing w:after="0" w:line="240" w:lineRule="auto"/>
        <w:jc w:val="both"/>
        <w:rPr>
          <w:rStyle w:val="xfmc1"/>
          <w:rFonts w:ascii="Times New Roman" w:eastAsia="Times New Roman" w:hAnsi="Times New Roman" w:cs="Times New Roman"/>
          <w:b/>
          <w:sz w:val="24"/>
          <w:szCs w:val="24"/>
        </w:rPr>
      </w:pPr>
    </w:p>
    <w:p w14:paraId="31CA7F35" w14:textId="77777777" w:rsidR="00C10269" w:rsidRPr="00C10269" w:rsidRDefault="00A27CE1" w:rsidP="00C1026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</w:pPr>
      <w:r w:rsidRPr="00C365D1">
        <w:rPr>
          <w:rFonts w:ascii="Times New Roman" w:hAnsi="Times New Roman" w:cs="Times New Roman"/>
          <w:b/>
        </w:rPr>
        <w:t>Засоби для довготривалого зберігання архівних матеріалів</w:t>
      </w:r>
      <w:r>
        <w:rPr>
          <w:rFonts w:ascii="Times New Roman" w:hAnsi="Times New Roman" w:cs="Times New Roman"/>
          <w:b/>
        </w:rPr>
        <w:t xml:space="preserve">  </w:t>
      </w:r>
      <w:r w:rsidR="00C10269" w:rsidRPr="00A33F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Лот №2 </w:t>
      </w:r>
    </w:p>
    <w:p w14:paraId="407ED046" w14:textId="77777777" w:rsidR="00C10269" w:rsidRPr="008630AB" w:rsidRDefault="00C10269" w:rsidP="00C10269">
      <w:pPr>
        <w:spacing w:after="0"/>
        <w:jc w:val="both"/>
        <w:rPr>
          <w:rFonts w:ascii="Times New Roman" w:hAnsi="Times New Roman" w:cs="Times New Roman"/>
        </w:rPr>
      </w:pPr>
      <w:r w:rsidRPr="008630AB">
        <w:rPr>
          <w:rFonts w:ascii="Times New Roman" w:hAnsi="Times New Roman" w:cs="Times New Roman"/>
        </w:rPr>
        <w:t xml:space="preserve">Теки для зберігання карт, розміром : 630х450 </w:t>
      </w:r>
      <w:r>
        <w:rPr>
          <w:rFonts w:ascii="Times New Roman" w:hAnsi="Times New Roman" w:cs="Times New Roman"/>
        </w:rPr>
        <w:t>(мм)</w:t>
      </w:r>
      <w:r w:rsidRPr="008630AB">
        <w:rPr>
          <w:rFonts w:ascii="Times New Roman" w:hAnsi="Times New Roman" w:cs="Times New Roman"/>
        </w:rPr>
        <w:t xml:space="preserve"> </w:t>
      </w:r>
    </w:p>
    <w:p w14:paraId="5C08D3DC" w14:textId="77777777" w:rsidR="00C10269" w:rsidRPr="008630AB" w:rsidRDefault="00C10269" w:rsidP="00C10269">
      <w:pPr>
        <w:spacing w:after="0"/>
        <w:jc w:val="both"/>
        <w:rPr>
          <w:rFonts w:ascii="Times New Roman" w:hAnsi="Times New Roman" w:cs="Times New Roman"/>
        </w:rPr>
      </w:pPr>
      <w:r w:rsidRPr="008630AB">
        <w:rPr>
          <w:rFonts w:ascii="Times New Roman" w:hAnsi="Times New Roman" w:cs="Times New Roman"/>
        </w:rPr>
        <w:t>Коробки для зберігання карт</w:t>
      </w:r>
      <w:r>
        <w:rPr>
          <w:rFonts w:ascii="Times New Roman" w:hAnsi="Times New Roman" w:cs="Times New Roman"/>
        </w:rPr>
        <w:t xml:space="preserve">, </w:t>
      </w:r>
      <w:r w:rsidRPr="008630AB">
        <w:rPr>
          <w:rFonts w:ascii="Times New Roman" w:hAnsi="Times New Roman" w:cs="Times New Roman"/>
          <w:lang w:eastAsia="en-US"/>
        </w:rPr>
        <w:t>розміром</w:t>
      </w:r>
      <w:r>
        <w:rPr>
          <w:rFonts w:ascii="Times New Roman" w:hAnsi="Times New Roman" w:cs="Times New Roman"/>
          <w:lang w:val="ru-RU" w:eastAsia="en-US"/>
        </w:rPr>
        <w:t>:</w:t>
      </w:r>
      <w:r w:rsidRPr="008630AB">
        <w:rPr>
          <w:rFonts w:ascii="Times New Roman" w:hAnsi="Times New Roman" w:cs="Times New Roman"/>
        </w:rPr>
        <w:t xml:space="preserve">2000х150х150 </w:t>
      </w:r>
      <w:r>
        <w:rPr>
          <w:rFonts w:ascii="Times New Roman" w:hAnsi="Times New Roman" w:cs="Times New Roman"/>
        </w:rPr>
        <w:t>(</w:t>
      </w:r>
      <w:r w:rsidRPr="008630AB">
        <w:rPr>
          <w:rFonts w:ascii="Times New Roman" w:hAnsi="Times New Roman" w:cs="Times New Roman"/>
        </w:rPr>
        <w:t>мм</w:t>
      </w:r>
      <w:r>
        <w:rPr>
          <w:rFonts w:ascii="Times New Roman" w:hAnsi="Times New Roman" w:cs="Times New Roman"/>
        </w:rPr>
        <w:t>)</w:t>
      </w:r>
      <w:r w:rsidRPr="008630AB">
        <w:rPr>
          <w:rFonts w:ascii="Times New Roman" w:hAnsi="Times New Roman" w:cs="Times New Roman"/>
          <w:lang w:val="ru-RU" w:eastAsia="en-US"/>
        </w:rPr>
        <w:t xml:space="preserve"> </w:t>
      </w:r>
    </w:p>
    <w:p w14:paraId="59B4953B" w14:textId="77777777" w:rsidR="00C10269" w:rsidRDefault="00C10269" w:rsidP="00C10269">
      <w:pPr>
        <w:pStyle w:val="af"/>
        <w:ind w:left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30AB">
        <w:rPr>
          <w:rFonts w:ascii="Times New Roman" w:hAnsi="Times New Roman" w:cs="Times New Roman"/>
          <w:sz w:val="22"/>
          <w:szCs w:val="22"/>
          <w:lang w:val="uk-UA"/>
        </w:rPr>
        <w:t>Самозбірні архівні коробки з відкидною кришкою</w:t>
      </w:r>
      <w:r w:rsidRPr="008630AB">
        <w:rPr>
          <w:rFonts w:ascii="Times New Roman" w:hAnsi="Times New Roman" w:cs="Times New Roman"/>
          <w:sz w:val="22"/>
          <w:szCs w:val="22"/>
        </w:rPr>
        <w:t xml:space="preserve">, розміром: </w:t>
      </w:r>
      <w:r w:rsidRPr="008630A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400х280х180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</w:t>
      </w:r>
      <w:r w:rsidRPr="008630AB">
        <w:rPr>
          <w:rFonts w:ascii="Times New Roman" w:hAnsi="Times New Roman" w:cs="Times New Roman"/>
          <w:color w:val="000000"/>
          <w:sz w:val="22"/>
          <w:szCs w:val="22"/>
          <w:lang w:val="uk-UA"/>
        </w:rPr>
        <w:t>мм</w:t>
      </w:r>
      <w:r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14:paraId="7FCDF15D" w14:textId="68C0960E" w:rsidR="00B36B07" w:rsidRDefault="00C10269" w:rsidP="00C10269">
      <w:pPr>
        <w:spacing w:after="0"/>
        <w:rPr>
          <w:rFonts w:ascii="Times New Roman" w:hAnsi="Times New Roman" w:cs="Times New Roman"/>
          <w:b/>
          <w:lang w:eastAsia="en-US"/>
        </w:rPr>
      </w:pPr>
      <w:r w:rsidRPr="00AB6552">
        <w:rPr>
          <w:rFonts w:ascii="Times New Roman" w:hAnsi="Times New Roman" w:cs="Times New Roman"/>
          <w:b/>
          <w:lang w:eastAsia="en-US"/>
        </w:rPr>
        <w:t>Загальна кількість</w:t>
      </w:r>
      <w:r w:rsidRPr="00AB6552">
        <w:rPr>
          <w:rFonts w:ascii="Times New Roman" w:hAnsi="Times New Roman" w:cs="Times New Roman"/>
          <w:b/>
        </w:rPr>
        <w:t xml:space="preserve"> </w:t>
      </w:r>
      <w:r w:rsidRPr="00AB6552">
        <w:rPr>
          <w:rFonts w:ascii="Times New Roman" w:hAnsi="Times New Roman" w:cs="Times New Roman"/>
          <w:b/>
          <w:lang w:eastAsia="en-US"/>
        </w:rPr>
        <w:t xml:space="preserve">: </w:t>
      </w:r>
      <w:r w:rsidR="00262079" w:rsidRPr="00AB6552">
        <w:rPr>
          <w:rFonts w:ascii="Times New Roman" w:hAnsi="Times New Roman" w:cs="Times New Roman"/>
          <w:b/>
          <w:lang w:eastAsia="en-US"/>
        </w:rPr>
        <w:t>1</w:t>
      </w:r>
      <w:r w:rsidR="000F2CDF" w:rsidRPr="00AB6552">
        <w:rPr>
          <w:rFonts w:ascii="Times New Roman" w:hAnsi="Times New Roman" w:cs="Times New Roman"/>
          <w:b/>
          <w:lang w:eastAsia="en-US"/>
        </w:rPr>
        <w:t>76</w:t>
      </w:r>
      <w:r w:rsidR="00262079" w:rsidRPr="00AB6552">
        <w:rPr>
          <w:rFonts w:ascii="Times New Roman" w:hAnsi="Times New Roman" w:cs="Times New Roman"/>
          <w:b/>
          <w:lang w:eastAsia="en-US"/>
        </w:rPr>
        <w:t>5</w:t>
      </w:r>
      <w:r w:rsidRPr="00AB6552">
        <w:rPr>
          <w:rFonts w:ascii="Times New Roman" w:hAnsi="Times New Roman" w:cs="Times New Roman"/>
          <w:b/>
          <w:lang w:eastAsia="en-US"/>
        </w:rPr>
        <w:t xml:space="preserve"> шт</w:t>
      </w:r>
    </w:p>
    <w:p w14:paraId="1AB1836F" w14:textId="77777777" w:rsidR="00BE6E82" w:rsidRPr="00C10269" w:rsidRDefault="00BE6E82" w:rsidP="00C1026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</w:pPr>
    </w:p>
    <w:tbl>
      <w:tblPr>
        <w:tblStyle w:val="a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3969"/>
        <w:gridCol w:w="3686"/>
      </w:tblGrid>
      <w:tr w:rsidR="00036251" w:rsidRPr="007F0701" w14:paraId="7567C8B2" w14:textId="77777777" w:rsidTr="00516D9F">
        <w:trPr>
          <w:trHeight w:val="703"/>
        </w:trPr>
        <w:tc>
          <w:tcPr>
            <w:tcW w:w="445" w:type="dxa"/>
          </w:tcPr>
          <w:p w14:paraId="270BFC89" w14:textId="77777777" w:rsidR="009A46F8" w:rsidRPr="007F0701" w:rsidRDefault="009A46F8" w:rsidP="001B4C41">
            <w:pPr>
              <w:pStyle w:val="af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070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965" w:type="dxa"/>
            <w:vAlign w:val="center"/>
          </w:tcPr>
          <w:p w14:paraId="11E3EAFD" w14:textId="77777777" w:rsidR="009A46F8" w:rsidRPr="00D82E78" w:rsidRDefault="00D82E78" w:rsidP="00260C2F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="009A46F8" w:rsidRPr="00D82E78">
              <w:rPr>
                <w:rFonts w:ascii="Times New Roman" w:hAnsi="Times New Roman" w:cs="Times New Roman"/>
                <w:b/>
                <w:lang w:val="uk-UA"/>
              </w:rPr>
              <w:t>азва</w:t>
            </w:r>
          </w:p>
        </w:tc>
        <w:tc>
          <w:tcPr>
            <w:tcW w:w="3969" w:type="dxa"/>
            <w:vAlign w:val="center"/>
          </w:tcPr>
          <w:p w14:paraId="6FBAAFDE" w14:textId="77777777" w:rsidR="009A46F8" w:rsidRPr="00D82E78" w:rsidRDefault="00D82E78" w:rsidP="00260C2F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</w:t>
            </w:r>
            <w:r w:rsidR="009A46F8" w:rsidRPr="00D82E78">
              <w:rPr>
                <w:rFonts w:ascii="Times New Roman" w:hAnsi="Times New Roman" w:cs="Times New Roman"/>
                <w:b/>
                <w:lang w:val="uk-UA"/>
              </w:rPr>
              <w:t>арактеристики</w:t>
            </w:r>
          </w:p>
        </w:tc>
        <w:tc>
          <w:tcPr>
            <w:tcW w:w="3686" w:type="dxa"/>
            <w:vAlign w:val="center"/>
          </w:tcPr>
          <w:p w14:paraId="67F9CE2F" w14:textId="77777777" w:rsidR="009A46F8" w:rsidRPr="00D82E78" w:rsidRDefault="00D82E78" w:rsidP="00260C2F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9A46F8" w:rsidRPr="00D82E78">
              <w:rPr>
                <w:rFonts w:ascii="Times New Roman" w:hAnsi="Times New Roman" w:cs="Times New Roman"/>
                <w:b/>
                <w:lang w:val="uk-UA"/>
              </w:rPr>
              <w:t>ображення</w:t>
            </w:r>
          </w:p>
        </w:tc>
      </w:tr>
      <w:tr w:rsidR="00036251" w:rsidRPr="007F0701" w14:paraId="052E7102" w14:textId="77777777" w:rsidTr="00516D9F">
        <w:tc>
          <w:tcPr>
            <w:tcW w:w="445" w:type="dxa"/>
          </w:tcPr>
          <w:p w14:paraId="298B5CE3" w14:textId="77777777" w:rsidR="009A46F8" w:rsidRPr="007F0701" w:rsidRDefault="00C365D1" w:rsidP="001B4C41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65" w:type="dxa"/>
          </w:tcPr>
          <w:p w14:paraId="62772CA1" w14:textId="77777777" w:rsidR="009A46F8" w:rsidRPr="00A27CE1" w:rsidRDefault="007F424A" w:rsidP="00A27CE1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 w:rsidRPr="008630AB">
              <w:rPr>
                <w:rFonts w:ascii="Times New Roman" w:hAnsi="Times New Roman" w:cs="Times New Roman"/>
              </w:rPr>
              <w:t xml:space="preserve">Теки для зберігання карт, розміром : 630х450 мм  </w:t>
            </w:r>
          </w:p>
        </w:tc>
        <w:tc>
          <w:tcPr>
            <w:tcW w:w="3969" w:type="dxa"/>
          </w:tcPr>
          <w:p w14:paraId="10F81739" w14:textId="77777777" w:rsidR="00D82E78" w:rsidRPr="00AA16E2" w:rsidRDefault="009A46F8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Безкислотний архівний картон </w:t>
            </w:r>
          </w:p>
          <w:p w14:paraId="189FAD6B" w14:textId="77777777" w:rsidR="007F424A" w:rsidRPr="00AA16E2" w:rsidRDefault="007F424A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Кількість – 1000 шт </w:t>
            </w:r>
          </w:p>
          <w:p w14:paraId="40CC8ED4" w14:textId="77777777" w:rsidR="006D06A3" w:rsidRPr="00AA16E2" w:rsidRDefault="003B6272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Колір: білий</w:t>
            </w:r>
          </w:p>
          <w:p w14:paraId="02903442" w14:textId="77777777" w:rsidR="009A46F8" w:rsidRPr="00AA16E2" w:rsidRDefault="009A46F8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230-350 гр/м2 має відповідати стандарту ISO 16245A</w:t>
            </w:r>
          </w:p>
          <w:p w14:paraId="71318843" w14:textId="77777777" w:rsidR="009A46F8" w:rsidRPr="00AA16E2" w:rsidRDefault="009A46F8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 pH водного фільтрату 7,5–10</w:t>
            </w:r>
          </w:p>
          <w:p w14:paraId="14456CB4" w14:textId="1176EC0D" w:rsidR="00D82E7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Л</w:t>
            </w:r>
            <w:r w:rsidR="009A46F8" w:rsidRPr="00AA16E2">
              <w:rPr>
                <w:rFonts w:ascii="Times New Roman" w:hAnsi="Times New Roman" w:cs="Times New Roman"/>
              </w:rPr>
              <w:t xml:space="preserve">ужний резерв (mol/kg) </w:t>
            </w:r>
            <w:bookmarkStart w:id="0" w:name="_GoBack"/>
            <w:bookmarkEnd w:id="0"/>
            <w:r w:rsidR="00912FC4" w:rsidRPr="00AA16E2">
              <w:rPr>
                <w:rFonts w:ascii="Times New Roman" w:hAnsi="Times New Roman" w:cs="Times New Roman"/>
              </w:rPr>
              <w:t>мін 0,4</w:t>
            </w:r>
          </w:p>
          <w:p w14:paraId="4667F142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П</w:t>
            </w:r>
            <w:r w:rsidR="009A46F8" w:rsidRPr="00AA16E2">
              <w:rPr>
                <w:rFonts w:ascii="Times New Roman" w:hAnsi="Times New Roman" w:cs="Times New Roman"/>
              </w:rPr>
              <w:t>оглинання води by Coobb60 (гр/м2) макс 24</w:t>
            </w:r>
          </w:p>
          <w:p w14:paraId="1C9F4FD7" w14:textId="77777777" w:rsidR="009A46F8" w:rsidRPr="00AA16E2" w:rsidRDefault="009A46F8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Kappa &lt; 4,8</w:t>
            </w:r>
            <w:r w:rsidR="00AA16E2" w:rsidRPr="00AA16E2">
              <w:rPr>
                <w:rFonts w:ascii="Times New Roman" w:hAnsi="Times New Roman" w:cs="Times New Roman"/>
              </w:rPr>
              <w:tab/>
            </w:r>
          </w:p>
          <w:p w14:paraId="26C69CEF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О</w:t>
            </w:r>
            <w:r w:rsidR="009A46F8" w:rsidRPr="00AA16E2">
              <w:rPr>
                <w:rFonts w:ascii="Times New Roman" w:hAnsi="Times New Roman" w:cs="Times New Roman"/>
              </w:rPr>
              <w:t>пір розриву (mN) мін 351</w:t>
            </w:r>
          </w:p>
          <w:p w14:paraId="2C7F4EA6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 Ц</w:t>
            </w:r>
            <w:r w:rsidR="009A46F8" w:rsidRPr="00AA16E2">
              <w:rPr>
                <w:rFonts w:ascii="Times New Roman" w:hAnsi="Times New Roman" w:cs="Times New Roman"/>
              </w:rPr>
              <w:t>елюлоза 100%</w:t>
            </w:r>
            <w:r w:rsidRPr="00AA16E2">
              <w:rPr>
                <w:rFonts w:ascii="Times New Roman" w:hAnsi="Times New Roman" w:cs="Times New Roman"/>
              </w:rPr>
              <w:t xml:space="preserve"> </w:t>
            </w:r>
          </w:p>
          <w:p w14:paraId="2AF8F745" w14:textId="77777777" w:rsidR="006D06A3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Вологість (%) 4–7</w:t>
            </w:r>
          </w:p>
          <w:p w14:paraId="2C32D80D" w14:textId="77777777" w:rsidR="006D06A3" w:rsidRPr="00E75F0B" w:rsidRDefault="006D06A3" w:rsidP="00AA16E2">
            <w:pPr>
              <w:spacing w:after="0" w:line="240" w:lineRule="auto"/>
            </w:pPr>
            <w:r w:rsidRPr="00AA16E2">
              <w:rPr>
                <w:rFonts w:ascii="Times New Roman" w:hAnsi="Times New Roman" w:cs="Times New Roman"/>
              </w:rPr>
              <w:t>Тип конструкції : Збірна</w:t>
            </w:r>
          </w:p>
        </w:tc>
        <w:tc>
          <w:tcPr>
            <w:tcW w:w="3686" w:type="dxa"/>
          </w:tcPr>
          <w:p w14:paraId="3597373A" w14:textId="77777777" w:rsidR="009A46F8" w:rsidRPr="007F0701" w:rsidRDefault="009A46F8" w:rsidP="001B4C41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 w:rsidRPr="007F070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882B84" wp14:editId="46FA1688">
                  <wp:extent cx="2111871" cy="1473200"/>
                  <wp:effectExtent l="19050" t="0" r="2679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54" cy="148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251" w:rsidRPr="007F0701" w14:paraId="3CFA3D37" w14:textId="77777777" w:rsidTr="00516D9F">
        <w:tc>
          <w:tcPr>
            <w:tcW w:w="445" w:type="dxa"/>
          </w:tcPr>
          <w:p w14:paraId="61B21166" w14:textId="77777777" w:rsidR="009A46F8" w:rsidRPr="007F0701" w:rsidRDefault="00C365D1" w:rsidP="001B4C41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1965" w:type="dxa"/>
          </w:tcPr>
          <w:p w14:paraId="07524E53" w14:textId="77777777" w:rsidR="009A46F8" w:rsidRPr="007F0701" w:rsidRDefault="007F424A" w:rsidP="0083486C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 w:rsidRPr="008630AB">
              <w:rPr>
                <w:rFonts w:ascii="Times New Roman" w:hAnsi="Times New Roman" w:cs="Times New Roman"/>
              </w:rPr>
              <w:t xml:space="preserve">Коробки для зберігання карт, розміром : 2000х150х150 мм </w:t>
            </w:r>
          </w:p>
        </w:tc>
        <w:tc>
          <w:tcPr>
            <w:tcW w:w="3969" w:type="dxa"/>
          </w:tcPr>
          <w:p w14:paraId="7B937893" w14:textId="77777777" w:rsidR="006D06A3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Безкислотний архівний картон </w:t>
            </w:r>
          </w:p>
          <w:p w14:paraId="6385A8F8" w14:textId="77777777" w:rsidR="007F424A" w:rsidRPr="00AA16E2" w:rsidRDefault="007F424A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Кількість – 15 шт </w:t>
            </w:r>
          </w:p>
          <w:p w14:paraId="19B01ED1" w14:textId="77777777" w:rsidR="006D06A3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Колір: </w:t>
            </w:r>
            <w:r w:rsidR="00C87099" w:rsidRPr="00AA16E2">
              <w:rPr>
                <w:rFonts w:ascii="Times New Roman" w:hAnsi="Times New Roman" w:cs="Times New Roman"/>
              </w:rPr>
              <w:t>синій</w:t>
            </w:r>
          </w:p>
          <w:p w14:paraId="149B00E9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З</w:t>
            </w:r>
            <w:r w:rsidR="009A46F8" w:rsidRPr="00AA16E2">
              <w:rPr>
                <w:rFonts w:ascii="Times New Roman" w:hAnsi="Times New Roman" w:cs="Times New Roman"/>
              </w:rPr>
              <w:t>автовшки 1,5 мм</w:t>
            </w:r>
          </w:p>
          <w:p w14:paraId="197E9AFA" w14:textId="77777777" w:rsidR="009A46F8" w:rsidRPr="00AA16E2" w:rsidRDefault="009A46F8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pH водного фільтрату мін 7,5</w:t>
            </w:r>
          </w:p>
          <w:p w14:paraId="290C225E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Л</w:t>
            </w:r>
            <w:r w:rsidR="009A46F8" w:rsidRPr="00AA16E2">
              <w:rPr>
                <w:rFonts w:ascii="Times New Roman" w:hAnsi="Times New Roman" w:cs="Times New Roman"/>
              </w:rPr>
              <w:t>ужний резерв (mol/kg) мін 0,4</w:t>
            </w:r>
          </w:p>
          <w:p w14:paraId="518F36CE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П</w:t>
            </w:r>
            <w:r w:rsidR="009A46F8" w:rsidRPr="00AA16E2">
              <w:rPr>
                <w:rFonts w:ascii="Times New Roman" w:hAnsi="Times New Roman" w:cs="Times New Roman"/>
              </w:rPr>
              <w:t>оглинання води by Coobb60 (гр/м2) макс 50</w:t>
            </w:r>
          </w:p>
          <w:p w14:paraId="7E3661B0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 М</w:t>
            </w:r>
            <w:r w:rsidR="009A46F8" w:rsidRPr="00AA16E2">
              <w:rPr>
                <w:rFonts w:ascii="Times New Roman" w:hAnsi="Times New Roman" w:cs="Times New Roman"/>
              </w:rPr>
              <w:t>іцність поперек волокна (MPa) 14</w:t>
            </w:r>
          </w:p>
          <w:p w14:paraId="074E8983" w14:textId="77777777" w:rsidR="009A46F8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 М</w:t>
            </w:r>
            <w:r w:rsidR="009A46F8" w:rsidRPr="00AA16E2">
              <w:rPr>
                <w:rFonts w:ascii="Times New Roman" w:hAnsi="Times New Roman" w:cs="Times New Roman"/>
              </w:rPr>
              <w:t>іцність вздовж волокна (MPa) 28</w:t>
            </w:r>
          </w:p>
          <w:p w14:paraId="6AFE21B5" w14:textId="77777777" w:rsidR="007F0701" w:rsidRPr="00AA16E2" w:rsidRDefault="007F0701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(не має бути поперечних скріплень/склейок по довгій стороні)</w:t>
            </w:r>
          </w:p>
          <w:p w14:paraId="326002A8" w14:textId="77777777" w:rsidR="006D06A3" w:rsidRPr="00AA16E2" w:rsidRDefault="006D06A3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Вологість (%) 5–8</w:t>
            </w:r>
          </w:p>
          <w:p w14:paraId="2852C212" w14:textId="77777777" w:rsidR="006D06A3" w:rsidRPr="00E75F0B" w:rsidRDefault="006D06A3" w:rsidP="00AA16E2">
            <w:pPr>
              <w:spacing w:after="0" w:line="240" w:lineRule="auto"/>
            </w:pPr>
            <w:r w:rsidRPr="00AA16E2">
              <w:rPr>
                <w:rFonts w:ascii="Times New Roman" w:hAnsi="Times New Roman" w:cs="Times New Roman"/>
              </w:rPr>
              <w:t>Тип конструкції : Збірна</w:t>
            </w:r>
          </w:p>
        </w:tc>
        <w:tc>
          <w:tcPr>
            <w:tcW w:w="3686" w:type="dxa"/>
          </w:tcPr>
          <w:p w14:paraId="09EBFA9E" w14:textId="77777777" w:rsidR="009A46F8" w:rsidRPr="007F0701" w:rsidRDefault="009A46F8" w:rsidP="001B4C41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 w:rsidRPr="007F070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3F465D" wp14:editId="2D7B00EE">
                  <wp:extent cx="2114550" cy="14160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2" cy="14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251" w:rsidRPr="007F0701" w14:paraId="1BE921C0" w14:textId="77777777" w:rsidTr="00516D9F">
        <w:tc>
          <w:tcPr>
            <w:tcW w:w="445" w:type="dxa"/>
          </w:tcPr>
          <w:p w14:paraId="670B3B33" w14:textId="77777777" w:rsidR="009A46F8" w:rsidRPr="007F0701" w:rsidRDefault="00C365D1" w:rsidP="001B4C41">
            <w:pPr>
              <w:pStyle w:val="af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65" w:type="dxa"/>
          </w:tcPr>
          <w:p w14:paraId="34EAF3A9" w14:textId="77777777" w:rsidR="009A46F8" w:rsidRPr="007F0701" w:rsidRDefault="007F424A" w:rsidP="00A27CE1">
            <w:pPr>
              <w:pStyle w:val="af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30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Самозбірні архівні коробки з відкидною кришкою</w:t>
            </w:r>
            <w:r w:rsidRPr="008630AB">
              <w:rPr>
                <w:rFonts w:ascii="Times New Roman" w:hAnsi="Times New Roman" w:cs="Times New Roman"/>
                <w:sz w:val="22"/>
                <w:szCs w:val="22"/>
              </w:rPr>
              <w:t xml:space="preserve">, розміром: </w:t>
            </w:r>
            <w:r w:rsidRPr="008630A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400х280х180 мм</w:t>
            </w:r>
            <w:r w:rsidRPr="008630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349275F5" w14:textId="77777777" w:rsidR="001C08BC" w:rsidRPr="00AA16E2" w:rsidRDefault="001C08BC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Безкислотний архівний картон </w:t>
            </w:r>
          </w:p>
          <w:p w14:paraId="71C4107E" w14:textId="625AAD63" w:rsidR="00407999" w:rsidRPr="00AA16E2" w:rsidRDefault="004079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552">
              <w:rPr>
                <w:rFonts w:ascii="Times New Roman" w:hAnsi="Times New Roman" w:cs="Times New Roman"/>
              </w:rPr>
              <w:t xml:space="preserve">Кількість </w:t>
            </w:r>
            <w:r w:rsidR="000F2CDF" w:rsidRPr="00AB6552">
              <w:rPr>
                <w:rFonts w:ascii="Times New Roman" w:hAnsi="Times New Roman" w:cs="Times New Roman"/>
              </w:rPr>
              <w:t>75</w:t>
            </w:r>
            <w:r w:rsidR="00262079" w:rsidRPr="00AB6552">
              <w:rPr>
                <w:rFonts w:ascii="Times New Roman" w:hAnsi="Times New Roman" w:cs="Times New Roman"/>
              </w:rPr>
              <w:t>0</w:t>
            </w:r>
            <w:r w:rsidRPr="00AB6552">
              <w:rPr>
                <w:rFonts w:ascii="Times New Roman" w:hAnsi="Times New Roman" w:cs="Times New Roman"/>
              </w:rPr>
              <w:t xml:space="preserve"> шт</w:t>
            </w:r>
            <w:r w:rsidRPr="00AA16E2">
              <w:rPr>
                <w:rFonts w:ascii="Times New Roman" w:hAnsi="Times New Roman" w:cs="Times New Roman"/>
              </w:rPr>
              <w:t xml:space="preserve"> </w:t>
            </w:r>
          </w:p>
          <w:p w14:paraId="09B99F79" w14:textId="77777777" w:rsidR="006D06A3" w:rsidRPr="00AA16E2" w:rsidRDefault="001C08BC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Колір: сіній</w:t>
            </w:r>
          </w:p>
          <w:p w14:paraId="31279570" w14:textId="77777777" w:rsidR="00C87099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Завтовшки 1,5 мм</w:t>
            </w:r>
          </w:p>
          <w:p w14:paraId="569CB12B" w14:textId="77777777" w:rsidR="00C87099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pH водного фільтрату мін 7,5</w:t>
            </w:r>
          </w:p>
          <w:p w14:paraId="5445A366" w14:textId="77777777" w:rsidR="00C87099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Лужний резерв (mol/kg) мін 0,4</w:t>
            </w:r>
          </w:p>
          <w:p w14:paraId="0E9A65A9" w14:textId="77777777" w:rsidR="00C87099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Поглинання води by Coobb60 (гр/м2) макс 50</w:t>
            </w:r>
          </w:p>
          <w:p w14:paraId="543AC38F" w14:textId="77777777" w:rsidR="00C87099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 Міцність поперек волокна (MPa) 14</w:t>
            </w:r>
          </w:p>
          <w:p w14:paraId="6D6D2382" w14:textId="77777777" w:rsidR="00C87099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 xml:space="preserve"> Міцність вздовж волокна (MPa) 28</w:t>
            </w:r>
          </w:p>
          <w:p w14:paraId="0EF814E9" w14:textId="77777777" w:rsidR="009A46F8" w:rsidRPr="00AA16E2" w:rsidRDefault="00C87099" w:rsidP="00AA1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6E2">
              <w:rPr>
                <w:rFonts w:ascii="Times New Roman" w:hAnsi="Times New Roman" w:cs="Times New Roman"/>
              </w:rPr>
              <w:t>Вологість (%) 5–8</w:t>
            </w:r>
          </w:p>
          <w:p w14:paraId="5E46EAA9" w14:textId="77777777" w:rsidR="009A46F8" w:rsidRPr="00E75F0B" w:rsidRDefault="006D06A3" w:rsidP="00AA16E2">
            <w:pPr>
              <w:spacing w:after="0" w:line="240" w:lineRule="auto"/>
            </w:pPr>
            <w:r w:rsidRPr="00AA16E2">
              <w:rPr>
                <w:rFonts w:ascii="Times New Roman" w:hAnsi="Times New Roman" w:cs="Times New Roman"/>
              </w:rPr>
              <w:t>Тип конструкції : Збірна</w:t>
            </w:r>
          </w:p>
        </w:tc>
        <w:tc>
          <w:tcPr>
            <w:tcW w:w="3686" w:type="dxa"/>
          </w:tcPr>
          <w:p w14:paraId="61A54230" w14:textId="77777777" w:rsidR="009A46F8" w:rsidRPr="007F0701" w:rsidRDefault="009A46F8" w:rsidP="001B4C41">
            <w:pPr>
              <w:pStyle w:val="af"/>
              <w:ind w:left="0"/>
              <w:rPr>
                <w:rFonts w:ascii="Times New Roman" w:hAnsi="Times New Roman" w:cs="Times New Roman"/>
                <w:noProof/>
                <w:lang w:val="uk-UA"/>
              </w:rPr>
            </w:pPr>
            <w:r w:rsidRPr="007F070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DF6535" wp14:editId="2F3A7C52">
                  <wp:extent cx="2157667" cy="136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395" cy="139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09552" w14:textId="77777777" w:rsidR="00A27CE1" w:rsidRPr="008630AB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630AB">
        <w:rPr>
          <w:rFonts w:ascii="Times New Roman" w:hAnsi="Times New Roman"/>
        </w:rPr>
        <w:t>Товар, який постачається, новий, не перебував в експлуатації, термін та умови його зберігання не порушені.</w:t>
      </w:r>
    </w:p>
    <w:p w14:paraId="4C2D4B12" w14:textId="77777777" w:rsidR="00A27CE1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630AB">
        <w:rPr>
          <w:rFonts w:ascii="Times New Roman" w:hAnsi="Times New Roman"/>
        </w:rPr>
        <w:t xml:space="preserve"> Вимоги до якості: </w:t>
      </w:r>
    </w:p>
    <w:p w14:paraId="00A5DB0B" w14:textId="77777777" w:rsidR="00A27CE1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Загальні в</w:t>
      </w:r>
      <w:r w:rsidRPr="0066370B">
        <w:rPr>
          <w:rFonts w:ascii="Times New Roman" w:hAnsi="Times New Roman"/>
          <w:b/>
        </w:rPr>
        <w:t>имоги</w:t>
      </w:r>
      <w:r>
        <w:rPr>
          <w:rFonts w:ascii="Times New Roman" w:hAnsi="Times New Roman"/>
          <w:b/>
        </w:rPr>
        <w:t xml:space="preserve"> для паперу всіх видів </w:t>
      </w:r>
      <w:r w:rsidRPr="0066370B">
        <w:rPr>
          <w:rFonts w:ascii="Times New Roman" w:hAnsi="Times New Roman"/>
          <w:b/>
        </w:rPr>
        <w:t xml:space="preserve">: </w:t>
      </w:r>
    </w:p>
    <w:p w14:paraId="75D0DEE1" w14:textId="3E8044AF" w:rsidR="00A27CE1" w:rsidRPr="004023F2" w:rsidRDefault="00A27CE1" w:rsidP="00A27CE1">
      <w:pPr>
        <w:spacing w:after="0" w:line="240" w:lineRule="auto"/>
        <w:jc w:val="both"/>
        <w:rPr>
          <w:rFonts w:ascii="Times New Roman" w:hAnsi="Times New Roman"/>
        </w:rPr>
      </w:pPr>
      <w:r w:rsidRPr="004023F2">
        <w:rPr>
          <w:rFonts w:ascii="Times New Roman" w:hAnsi="Times New Roman"/>
        </w:rPr>
        <w:t>відсутність складок, зморшкуватості, хвилятості, залощених і матових смуг,брудних і таких що просвічуються плям,</w:t>
      </w:r>
      <w:r w:rsidR="00EF5351">
        <w:rPr>
          <w:rFonts w:ascii="Times New Roman" w:hAnsi="Times New Roman"/>
        </w:rPr>
        <w:t xml:space="preserve"> </w:t>
      </w:r>
      <w:r w:rsidRPr="004023F2">
        <w:rPr>
          <w:rFonts w:ascii="Times New Roman" w:hAnsi="Times New Roman"/>
        </w:rPr>
        <w:t>надривів, нерівного обрізу листа, різновідтінковість.</w:t>
      </w:r>
    </w:p>
    <w:p w14:paraId="69034C2E" w14:textId="77777777" w:rsidR="00A27CE1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Вимоги що до якості картону:</w:t>
      </w:r>
    </w:p>
    <w:p w14:paraId="3E8E826A" w14:textId="77777777" w:rsidR="00A27CE1" w:rsidRPr="00CF4C98" w:rsidRDefault="00A27CE1" w:rsidP="00A27CE1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 w:rsidRPr="00CF4C98">
        <w:rPr>
          <w:rFonts w:ascii="Times New Roman" w:hAnsi="Times New Roman"/>
        </w:rPr>
        <w:t>ідсутність сторонніх включень, що відрізняються кольором</w:t>
      </w:r>
    </w:p>
    <w:p w14:paraId="7C2DE017" w14:textId="77777777" w:rsidR="00A27CE1" w:rsidRPr="00CF4C98" w:rsidRDefault="00A27CE1" w:rsidP="00A27CE1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н</w:t>
      </w:r>
      <w:r w:rsidRPr="00CF4C98">
        <w:rPr>
          <w:rFonts w:ascii="Times New Roman" w:hAnsi="Times New Roman"/>
        </w:rPr>
        <w:t>еподрібнених або непофарбованих пучків волокон</w:t>
      </w:r>
    </w:p>
    <w:p w14:paraId="06FACC6B" w14:textId="2A7AA7B3" w:rsidR="00A27CE1" w:rsidRPr="00CF4C98" w:rsidRDefault="00A27CE1" w:rsidP="00A27CE1">
      <w:pPr>
        <w:pStyle w:val="af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о</w:t>
      </w:r>
      <w:r w:rsidRPr="00CF4C98">
        <w:rPr>
          <w:rFonts w:ascii="Times New Roman" w:hAnsi="Times New Roman"/>
        </w:rPr>
        <w:t>знак розш</w:t>
      </w:r>
      <w:r w:rsidR="000F2CDF">
        <w:rPr>
          <w:rFonts w:ascii="Times New Roman" w:hAnsi="Times New Roman"/>
          <w:lang w:val="uk-UA"/>
        </w:rPr>
        <w:t>ар</w:t>
      </w:r>
      <w:r w:rsidRPr="00CF4C98">
        <w:rPr>
          <w:rFonts w:ascii="Times New Roman" w:hAnsi="Times New Roman"/>
        </w:rPr>
        <w:t xml:space="preserve">ування картону </w:t>
      </w:r>
    </w:p>
    <w:p w14:paraId="5E80D44D" w14:textId="77777777" w:rsidR="00A27CE1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Вимоги що до якості виробів з паперу і картону</w:t>
      </w:r>
    </w:p>
    <w:p w14:paraId="0F5D66FE" w14:textId="77777777" w:rsidR="00A27CE1" w:rsidRPr="00CF4C98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F4C98">
        <w:rPr>
          <w:rFonts w:ascii="Times New Roman" w:hAnsi="Times New Roman"/>
        </w:rPr>
        <w:t>В виробах не повинно бути вм’ятин, пожмаканих і надірваних аркушів, слідів від клею ,інших забруднень , лощених зморшок, матових смуг тощо</w:t>
      </w:r>
    </w:p>
    <w:p w14:paraId="0D44C9A9" w14:textId="77777777" w:rsidR="00A27CE1" w:rsidRPr="0066370B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Я</w:t>
      </w:r>
      <w:r w:rsidRPr="008630AB">
        <w:rPr>
          <w:rFonts w:ascii="Times New Roman" w:hAnsi="Times New Roman"/>
        </w:rPr>
        <w:t>кість та комплектність продукції повинна відповідати стандартам якості та підтверджуватись відповідними документами якості</w:t>
      </w:r>
      <w:r>
        <w:rPr>
          <w:rFonts w:ascii="Times New Roman" w:hAnsi="Times New Roman"/>
        </w:rPr>
        <w:t xml:space="preserve"> </w:t>
      </w:r>
    </w:p>
    <w:p w14:paraId="22F91264" w14:textId="77777777" w:rsidR="00A27CE1" w:rsidRPr="008630AB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630AB">
        <w:rPr>
          <w:rFonts w:ascii="Times New Roman" w:hAnsi="Times New Roman"/>
        </w:rPr>
        <w:t xml:space="preserve"> Ціна за одиницю товару повинна бути сформована з урахуванням витрат на завантаження, розвантаження, транспортних витрат до місця поставки та інших витрат.</w:t>
      </w:r>
    </w:p>
    <w:p w14:paraId="4843506F" w14:textId="77777777" w:rsidR="00A27CE1" w:rsidRPr="00C10269" w:rsidRDefault="00A27CE1" w:rsidP="00A27CE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630AB">
        <w:rPr>
          <w:rFonts w:ascii="Times New Roman" w:hAnsi="Times New Roman"/>
        </w:rPr>
        <w:t xml:space="preserve"> Умови поставки: </w:t>
      </w:r>
      <w:r w:rsidR="001B45A6">
        <w:rPr>
          <w:rFonts w:ascii="Times New Roman" w:hAnsi="Times New Roman"/>
        </w:rPr>
        <w:t>з</w:t>
      </w:r>
      <w:r w:rsidRPr="00C10269">
        <w:rPr>
          <w:rFonts w:ascii="Times New Roman" w:hAnsi="Times New Roman"/>
        </w:rPr>
        <w:t>агальний термін поставки т</w:t>
      </w:r>
      <w:r w:rsidR="007E0938" w:rsidRPr="00C10269">
        <w:rPr>
          <w:rFonts w:ascii="Times New Roman" w:hAnsi="Times New Roman"/>
        </w:rPr>
        <w:t>овару за договором до 31 травня</w:t>
      </w:r>
      <w:r w:rsidRPr="00C10269">
        <w:rPr>
          <w:rFonts w:ascii="Times New Roman" w:hAnsi="Times New Roman"/>
        </w:rPr>
        <w:t xml:space="preserve"> 2023р.</w:t>
      </w:r>
    </w:p>
    <w:p w14:paraId="59717E73" w14:textId="77777777" w:rsidR="00A27CE1" w:rsidRPr="00C10269" w:rsidRDefault="00A27CE1" w:rsidP="005549C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10269">
        <w:rPr>
          <w:rFonts w:ascii="Times New Roman" w:hAnsi="Times New Roman"/>
        </w:rPr>
        <w:t xml:space="preserve"> Умови оплати: оплата за поставлений то</w:t>
      </w:r>
      <w:r w:rsidR="005549C5">
        <w:rPr>
          <w:rFonts w:ascii="Times New Roman" w:hAnsi="Times New Roman"/>
        </w:rPr>
        <w:t xml:space="preserve">вар здійснюється протягом 5 </w:t>
      </w:r>
      <w:r w:rsidR="005549C5" w:rsidRPr="005549C5">
        <w:rPr>
          <w:rFonts w:ascii="Times New Roman" w:hAnsi="Times New Roman" w:cs="Times New Roman"/>
        </w:rPr>
        <w:t xml:space="preserve">( п’яти) </w:t>
      </w:r>
      <w:r w:rsidR="005549C5" w:rsidRPr="005549C5">
        <w:rPr>
          <w:rFonts w:ascii="Times New Roman" w:hAnsi="Times New Roman" w:cs="Times New Roman"/>
          <w:bCs/>
          <w:kern w:val="2"/>
          <w:sz w:val="24"/>
          <w:szCs w:val="24"/>
        </w:rPr>
        <w:t>робочих днів</w:t>
      </w:r>
      <w:r w:rsidRPr="00C10269">
        <w:rPr>
          <w:rFonts w:ascii="Times New Roman" w:hAnsi="Times New Roman"/>
        </w:rPr>
        <w:t xml:space="preserve"> з моменту поставки</w:t>
      </w:r>
      <w:r w:rsidR="005549C5">
        <w:rPr>
          <w:rFonts w:ascii="Times New Roman" w:hAnsi="Times New Roman"/>
        </w:rPr>
        <w:t xml:space="preserve"> </w:t>
      </w:r>
      <w:r w:rsidRPr="00C10269">
        <w:rPr>
          <w:rFonts w:ascii="Times New Roman" w:hAnsi="Times New Roman"/>
        </w:rPr>
        <w:t>товару. Передплата не передбачається.</w:t>
      </w:r>
      <w:r w:rsidRPr="00C10269">
        <w:rPr>
          <w:rFonts w:ascii="Times New Roman" w:hAnsi="Times New Roman" w:cs="Times New Roman"/>
          <w:lang w:eastAsia="en-US"/>
        </w:rPr>
        <w:t xml:space="preserve"> </w:t>
      </w:r>
    </w:p>
    <w:p w14:paraId="720CF098" w14:textId="77777777" w:rsidR="00A27CE1" w:rsidRPr="0083486C" w:rsidRDefault="00C10269" w:rsidP="00A27CE1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83486C">
        <w:rPr>
          <w:rFonts w:ascii="Times New Roman" w:hAnsi="Times New Roman" w:cs="Times New Roman"/>
          <w:lang w:eastAsia="en-US"/>
        </w:rPr>
        <w:t>Товари</w:t>
      </w:r>
      <w:r w:rsidR="00EB3E81" w:rsidRPr="0083486C">
        <w:rPr>
          <w:rFonts w:ascii="Times New Roman" w:hAnsi="Times New Roman" w:cs="Times New Roman"/>
          <w:lang w:eastAsia="en-US"/>
        </w:rPr>
        <w:t xml:space="preserve"> </w:t>
      </w:r>
      <w:r w:rsidR="00A27CE1" w:rsidRPr="0083486C">
        <w:rPr>
          <w:rFonts w:ascii="Times New Roman" w:hAnsi="Times New Roman" w:cs="Times New Roman"/>
          <w:lang w:eastAsia="en-US"/>
        </w:rPr>
        <w:t>повинні бути сертифіковані, це повинно бути підтверджено наданням завіреної (печатка та підпис) копії сертифікату відповідності.</w:t>
      </w:r>
    </w:p>
    <w:p w14:paraId="7576E9DB" w14:textId="77777777" w:rsidR="00A27CE1" w:rsidRPr="006B7565" w:rsidRDefault="00A27CE1" w:rsidP="006B75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4B374C">
        <w:rPr>
          <w:rFonts w:ascii="Times New Roman" w:hAnsi="Times New Roman" w:cs="Times New Roman"/>
        </w:rPr>
        <w:t xml:space="preserve">Учасник має право отримати інформацію, яка може бути йому необхідна для підготовки тендерної пропозиції та укладання договору. </w:t>
      </w:r>
    </w:p>
    <w:p w14:paraId="6DF67376" w14:textId="77777777" w:rsidR="00A27CE1" w:rsidRPr="006B7565" w:rsidRDefault="00A27CE1" w:rsidP="00BC4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2B86E47" w14:textId="77777777" w:rsidR="00421D4D" w:rsidRPr="006B7565" w:rsidRDefault="00421D4D" w:rsidP="0030553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  <w:shd w:val="clear" w:color="auto" w:fill="FDFEFD"/>
        </w:rPr>
      </w:pPr>
      <w:r w:rsidRPr="006B7565">
        <w:rPr>
          <w:rFonts w:ascii="Times New Roman" w:hAnsi="Times New Roman"/>
          <w:i/>
          <w:sz w:val="20"/>
          <w:szCs w:val="20"/>
        </w:rPr>
        <w:t xml:space="preserve">Вважати зазначені у </w:t>
      </w:r>
      <w:r w:rsidR="008630AB" w:rsidRPr="006B7565">
        <w:rPr>
          <w:rFonts w:ascii="Times New Roman" w:eastAsia="Times New Roman" w:hAnsi="Times New Roman" w:cs="Times New Roman"/>
          <w:i/>
          <w:iCs/>
          <w:sz w:val="20"/>
          <w:szCs w:val="20"/>
        </w:rPr>
        <w:t>Інформації</w:t>
      </w:r>
      <w:r w:rsidR="00D33929" w:rsidRPr="006B756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про необхідні технічні, якісні та кількісні характеристики предмета закупівлі — технічні вимоги до предмета закупівлі </w:t>
      </w:r>
      <w:r w:rsidR="006B7565" w:rsidRPr="006B7565">
        <w:rPr>
          <w:rFonts w:ascii="Times New Roman" w:hAnsi="Times New Roman" w:cs="Times New Roman"/>
          <w:i/>
          <w:sz w:val="20"/>
          <w:szCs w:val="20"/>
        </w:rPr>
        <w:t xml:space="preserve">Засоби для довготривалого зберігання архівних матеріалів  </w:t>
      </w:r>
      <w:r w:rsidRPr="006B7565">
        <w:rPr>
          <w:rFonts w:ascii="Times New Roman" w:hAnsi="Times New Roman"/>
          <w:i/>
          <w:sz w:val="20"/>
          <w:szCs w:val="20"/>
        </w:rPr>
        <w:t>посилання на конкретн</w:t>
      </w:r>
      <w:r w:rsidRPr="006B7565">
        <w:rPr>
          <w:rFonts w:ascii="Times New Roman" w:hAnsi="Times New Roman"/>
          <w:i/>
          <w:sz w:val="20"/>
          <w:szCs w:val="20"/>
          <w:lang w:val="en-US"/>
        </w:rPr>
        <w:t>e</w:t>
      </w:r>
      <w:r w:rsidRPr="006B7565">
        <w:rPr>
          <w:rFonts w:ascii="Times New Roman" w:hAnsi="Times New Roman"/>
          <w:i/>
          <w:sz w:val="20"/>
          <w:szCs w:val="20"/>
        </w:rPr>
        <w:t xml:space="preserve"> марку чи </w:t>
      </w:r>
      <w:r w:rsidRPr="006B7565">
        <w:rPr>
          <w:rFonts w:ascii="Times New Roman" w:hAnsi="Times New Roman"/>
          <w:i/>
          <w:sz w:val="20"/>
          <w:szCs w:val="20"/>
          <w:lang w:val="ru-RU"/>
        </w:rPr>
        <w:t xml:space="preserve">виробника, або конкретний процес, що характеризує продукт чи послугу певного субєкта господарювання, чи на торгову марку, </w:t>
      </w:r>
      <w:r w:rsidRPr="006B7565">
        <w:rPr>
          <w:rFonts w:ascii="Times New Roman" w:hAnsi="Times New Roman"/>
          <w:i/>
          <w:sz w:val="20"/>
          <w:szCs w:val="20"/>
        </w:rPr>
        <w:t>патент, тип, або конкретне місце походження, чи спосіб виробництва такими, що містять вираз «або еквівалент».</w:t>
      </w:r>
    </w:p>
    <w:p w14:paraId="186B6FBD" w14:textId="77777777" w:rsidR="001D7746" w:rsidRPr="001D7746" w:rsidRDefault="001D7746" w:rsidP="00421D4D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CAA663F" w14:textId="77777777" w:rsidR="00421D4D" w:rsidRDefault="00421D4D" w:rsidP="00BC4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0216EC1" w14:textId="77777777" w:rsidR="00421D4D" w:rsidRPr="00A62D08" w:rsidRDefault="00421D4D" w:rsidP="00BC4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DA2C34B" w14:textId="77777777" w:rsidR="007D45CF" w:rsidRPr="00CF1947" w:rsidRDefault="007D45CF" w:rsidP="00BC47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CF1947">
        <w:rPr>
          <w:rFonts w:ascii="Times New Roman" w:eastAsia="Times New Roman" w:hAnsi="Times New Roman" w:cs="Times New Roman"/>
          <w:b/>
          <w:bCs/>
        </w:rPr>
        <w:lastRenderedPageBreak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14:paraId="682B04A3" w14:textId="77777777" w:rsidR="007D45CF" w:rsidRPr="00CF1947" w:rsidRDefault="007D45CF" w:rsidP="007D45CF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  <w:r w:rsidRPr="00CF1947">
        <w:rPr>
          <w:rFonts w:ascii="Times New Roman" w:eastAsia="Times New Roman" w:hAnsi="Times New Roman" w:cs="Times New Roman"/>
        </w:rPr>
        <w:t xml:space="preserve">технічну специфікацію, складена учасником згідно з </w:t>
      </w:r>
      <w:r w:rsidRPr="00CF1947">
        <w:rPr>
          <w:rFonts w:ascii="Times New Roman" w:eastAsia="Times New Roman" w:hAnsi="Times New Roman" w:cs="Times New Roman"/>
          <w:b/>
          <w:i/>
        </w:rPr>
        <w:t>Таблицею 1:</w:t>
      </w:r>
      <w:r w:rsidRPr="00CF1947">
        <w:rPr>
          <w:rFonts w:ascii="Times New Roman" w:eastAsia="Times New Roman" w:hAnsi="Times New Roman" w:cs="Times New Roman"/>
        </w:rPr>
        <w:t xml:space="preserve"> </w:t>
      </w:r>
    </w:p>
    <w:p w14:paraId="555DCCBC" w14:textId="77777777" w:rsidR="007D45CF" w:rsidRPr="00CF1947" w:rsidRDefault="007D45CF" w:rsidP="007D45CF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</w:rPr>
        <w:tab/>
      </w:r>
      <w:r w:rsidRPr="00CF1947">
        <w:rPr>
          <w:rFonts w:ascii="Times New Roman" w:eastAsia="Times New Roman" w:hAnsi="Times New Roman" w:cs="Times New Roman"/>
          <w:b/>
          <w:i/>
          <w:highlight w:val="white"/>
        </w:rPr>
        <w:t xml:space="preserve">       Таблиця 1</w:t>
      </w:r>
    </w:p>
    <w:tbl>
      <w:tblPr>
        <w:tblStyle w:val="Style29"/>
        <w:tblW w:w="969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7D45CF" w:rsidRPr="00CF1947" w14:paraId="04AD7AB6" w14:textId="77777777" w:rsidTr="00B66518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3B3E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5F11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A08C2BB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3236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16E3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  <w:p w14:paraId="775CD110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4168" w14:textId="77777777" w:rsidR="007D45CF" w:rsidRPr="008038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803847">
              <w:rPr>
                <w:rFonts w:ascii="Times New Roman" w:eastAsia="Times New Roman" w:hAnsi="Times New Roman" w:cs="Times New Roman"/>
                <w:i/>
              </w:rPr>
              <w:t>Виробник товару*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1084" w14:textId="77777777" w:rsidR="007D45CF" w:rsidRPr="008038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803847">
              <w:rPr>
                <w:rFonts w:ascii="Times New Roman" w:eastAsia="Times New Roman" w:hAnsi="Times New Roman" w:cs="Times New Roman"/>
                <w:i/>
                <w:highlight w:val="white"/>
              </w:rPr>
              <w:t>Країна  походження товару**</w:t>
            </w:r>
          </w:p>
        </w:tc>
      </w:tr>
      <w:tr w:rsidR="007D45CF" w:rsidRPr="00CF1947" w14:paraId="1D2AD8ED" w14:textId="77777777" w:rsidTr="00B66518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5B08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FD40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54154B2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FF56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7BCF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6787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69C8" w14:textId="77777777" w:rsidR="007D45CF" w:rsidRPr="00CF1947" w:rsidRDefault="007D45CF" w:rsidP="00B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highlight w:val="white"/>
              </w:rPr>
              <w:t>7</w:t>
            </w:r>
          </w:p>
        </w:tc>
      </w:tr>
      <w:tr w:rsidR="007D45CF" w:rsidRPr="00CF1947" w14:paraId="1EFC6427" w14:textId="77777777" w:rsidTr="00B66518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C994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DF32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96C765B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37D5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B7C1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24A2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1332" w14:textId="77777777" w:rsidR="007D45CF" w:rsidRPr="00CF1947" w:rsidRDefault="007D45CF" w:rsidP="00B6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 w:rsidRPr="00CF1947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</w:tr>
    </w:tbl>
    <w:p w14:paraId="539AE2F1" w14:textId="77777777" w:rsidR="007D45CF" w:rsidRPr="00016416" w:rsidRDefault="007D45CF" w:rsidP="007D45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6416">
        <w:rPr>
          <w:rFonts w:ascii="Times New Roman" w:eastAsia="Times New Roman" w:hAnsi="Times New Roman" w:cs="Times New Roman"/>
          <w:i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780108EB" w14:textId="77777777" w:rsidR="00B36B07" w:rsidRDefault="007D45CF" w:rsidP="0071001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6416">
        <w:rPr>
          <w:rFonts w:ascii="Times New Roman" w:eastAsia="Times New Roman" w:hAnsi="Times New Roman" w:cs="Times New Roman"/>
          <w:i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5AC0299D" w14:textId="77777777" w:rsidR="008703CC" w:rsidRDefault="008703CC" w:rsidP="0071001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9094AD2" w14:textId="77777777" w:rsidR="00954B28" w:rsidRPr="00C10269" w:rsidRDefault="008703CC" w:rsidP="00C10269">
      <w:pPr>
        <w:pStyle w:val="af1"/>
        <w:rPr>
          <w:lang w:val="uk-UA"/>
        </w:rPr>
      </w:pPr>
      <w:r>
        <w:t>.</w:t>
      </w:r>
    </w:p>
    <w:sectPr w:rsidR="00954B28" w:rsidRPr="00C10269" w:rsidSect="008B7C7B"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CEAF" w14:textId="77777777" w:rsidR="00E62134" w:rsidRDefault="00E62134">
      <w:pPr>
        <w:spacing w:line="240" w:lineRule="auto"/>
      </w:pPr>
      <w:r>
        <w:separator/>
      </w:r>
    </w:p>
  </w:endnote>
  <w:endnote w:type="continuationSeparator" w:id="0">
    <w:p w14:paraId="1E0C68A5" w14:textId="77777777" w:rsidR="00E62134" w:rsidRDefault="00E62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0D60" w14:textId="77777777" w:rsidR="00E62134" w:rsidRDefault="00E62134">
      <w:pPr>
        <w:spacing w:after="0"/>
      </w:pPr>
      <w:r>
        <w:separator/>
      </w:r>
    </w:p>
  </w:footnote>
  <w:footnote w:type="continuationSeparator" w:id="0">
    <w:p w14:paraId="660DC8EC" w14:textId="77777777" w:rsidR="00E62134" w:rsidRDefault="00E621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60C9"/>
    <w:multiLevelType w:val="hybridMultilevel"/>
    <w:tmpl w:val="B5D8AD50"/>
    <w:lvl w:ilvl="0" w:tplc="CA2816A0">
      <w:numFmt w:val="bullet"/>
      <w:lvlText w:val="-"/>
      <w:lvlJc w:val="left"/>
      <w:pPr>
        <w:ind w:left="1260" w:hanging="360"/>
      </w:pPr>
      <w:rPr>
        <w:rFonts w:ascii="Arial" w:eastAsia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D8979E5"/>
    <w:multiLevelType w:val="multilevel"/>
    <w:tmpl w:val="6D8979E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D0"/>
    <w:rsid w:val="000155E8"/>
    <w:rsid w:val="00016416"/>
    <w:rsid w:val="00022291"/>
    <w:rsid w:val="00036251"/>
    <w:rsid w:val="000971D7"/>
    <w:rsid w:val="000C4A9F"/>
    <w:rsid w:val="000D3E1A"/>
    <w:rsid w:val="000E5654"/>
    <w:rsid w:val="000E6B48"/>
    <w:rsid w:val="000F2CDF"/>
    <w:rsid w:val="00104FFC"/>
    <w:rsid w:val="00111B47"/>
    <w:rsid w:val="00160158"/>
    <w:rsid w:val="00187401"/>
    <w:rsid w:val="001A503E"/>
    <w:rsid w:val="001B45A6"/>
    <w:rsid w:val="001B7838"/>
    <w:rsid w:val="001C08BC"/>
    <w:rsid w:val="001D6468"/>
    <w:rsid w:val="001D7746"/>
    <w:rsid w:val="001F114A"/>
    <w:rsid w:val="001F5A52"/>
    <w:rsid w:val="00206976"/>
    <w:rsid w:val="00260C2F"/>
    <w:rsid w:val="00262079"/>
    <w:rsid w:val="0027596F"/>
    <w:rsid w:val="0029637B"/>
    <w:rsid w:val="00297418"/>
    <w:rsid w:val="002B29B1"/>
    <w:rsid w:val="002C3CAD"/>
    <w:rsid w:val="002D3081"/>
    <w:rsid w:val="002E1A70"/>
    <w:rsid w:val="00305533"/>
    <w:rsid w:val="003162D0"/>
    <w:rsid w:val="00327D25"/>
    <w:rsid w:val="00396F54"/>
    <w:rsid w:val="003B005E"/>
    <w:rsid w:val="003B5B84"/>
    <w:rsid w:val="003B6272"/>
    <w:rsid w:val="003B78A0"/>
    <w:rsid w:val="003D46D0"/>
    <w:rsid w:val="003F15C2"/>
    <w:rsid w:val="004023F2"/>
    <w:rsid w:val="00407999"/>
    <w:rsid w:val="004168EC"/>
    <w:rsid w:val="00421D4D"/>
    <w:rsid w:val="004346D7"/>
    <w:rsid w:val="00440503"/>
    <w:rsid w:val="00447421"/>
    <w:rsid w:val="004A4F60"/>
    <w:rsid w:val="004B374C"/>
    <w:rsid w:val="00516D9F"/>
    <w:rsid w:val="0052789A"/>
    <w:rsid w:val="005363E9"/>
    <w:rsid w:val="00543DC3"/>
    <w:rsid w:val="00554439"/>
    <w:rsid w:val="005549C5"/>
    <w:rsid w:val="005978EE"/>
    <w:rsid w:val="005B6924"/>
    <w:rsid w:val="005E40A3"/>
    <w:rsid w:val="005E5B7F"/>
    <w:rsid w:val="00616E37"/>
    <w:rsid w:val="0066370B"/>
    <w:rsid w:val="00684062"/>
    <w:rsid w:val="006905B6"/>
    <w:rsid w:val="00695018"/>
    <w:rsid w:val="006A57F7"/>
    <w:rsid w:val="006B2777"/>
    <w:rsid w:val="006B4C3D"/>
    <w:rsid w:val="006B7565"/>
    <w:rsid w:val="006D06A3"/>
    <w:rsid w:val="006E20DE"/>
    <w:rsid w:val="0071001B"/>
    <w:rsid w:val="00721752"/>
    <w:rsid w:val="00736B3A"/>
    <w:rsid w:val="00745625"/>
    <w:rsid w:val="0075670E"/>
    <w:rsid w:val="007A057E"/>
    <w:rsid w:val="007D45CF"/>
    <w:rsid w:val="007E0938"/>
    <w:rsid w:val="007E48D2"/>
    <w:rsid w:val="007F0701"/>
    <w:rsid w:val="007F424A"/>
    <w:rsid w:val="007F7344"/>
    <w:rsid w:val="00803847"/>
    <w:rsid w:val="008250D4"/>
    <w:rsid w:val="00825413"/>
    <w:rsid w:val="0083486C"/>
    <w:rsid w:val="008359C3"/>
    <w:rsid w:val="008505B3"/>
    <w:rsid w:val="008519F1"/>
    <w:rsid w:val="00857100"/>
    <w:rsid w:val="008630AB"/>
    <w:rsid w:val="008703CC"/>
    <w:rsid w:val="008746A2"/>
    <w:rsid w:val="008B6B32"/>
    <w:rsid w:val="008B7C7B"/>
    <w:rsid w:val="008D11E9"/>
    <w:rsid w:val="008E533F"/>
    <w:rsid w:val="008E5769"/>
    <w:rsid w:val="00912FC4"/>
    <w:rsid w:val="00926C89"/>
    <w:rsid w:val="00933C1F"/>
    <w:rsid w:val="00954B28"/>
    <w:rsid w:val="009802E4"/>
    <w:rsid w:val="00991729"/>
    <w:rsid w:val="009940A6"/>
    <w:rsid w:val="009A3185"/>
    <w:rsid w:val="009A46F8"/>
    <w:rsid w:val="009F3E0D"/>
    <w:rsid w:val="00A00329"/>
    <w:rsid w:val="00A0321D"/>
    <w:rsid w:val="00A11773"/>
    <w:rsid w:val="00A27CE1"/>
    <w:rsid w:val="00A40B14"/>
    <w:rsid w:val="00A60EA3"/>
    <w:rsid w:val="00A62D08"/>
    <w:rsid w:val="00AA16E2"/>
    <w:rsid w:val="00AB3A0C"/>
    <w:rsid w:val="00AB6552"/>
    <w:rsid w:val="00AC2563"/>
    <w:rsid w:val="00AC575F"/>
    <w:rsid w:val="00AC624E"/>
    <w:rsid w:val="00AE467D"/>
    <w:rsid w:val="00B166BA"/>
    <w:rsid w:val="00B36B07"/>
    <w:rsid w:val="00B50C21"/>
    <w:rsid w:val="00B53221"/>
    <w:rsid w:val="00B54B88"/>
    <w:rsid w:val="00B55AD6"/>
    <w:rsid w:val="00B56F4B"/>
    <w:rsid w:val="00B76C9A"/>
    <w:rsid w:val="00B91A3A"/>
    <w:rsid w:val="00BA4A71"/>
    <w:rsid w:val="00BC4729"/>
    <w:rsid w:val="00BD1E4A"/>
    <w:rsid w:val="00BE6E82"/>
    <w:rsid w:val="00BF7F04"/>
    <w:rsid w:val="00C10269"/>
    <w:rsid w:val="00C15A76"/>
    <w:rsid w:val="00C164BE"/>
    <w:rsid w:val="00C167EF"/>
    <w:rsid w:val="00C1733C"/>
    <w:rsid w:val="00C365D1"/>
    <w:rsid w:val="00C41D0C"/>
    <w:rsid w:val="00C63645"/>
    <w:rsid w:val="00C76CEA"/>
    <w:rsid w:val="00C87099"/>
    <w:rsid w:val="00CA204E"/>
    <w:rsid w:val="00CB5362"/>
    <w:rsid w:val="00CF1947"/>
    <w:rsid w:val="00CF4C98"/>
    <w:rsid w:val="00CF4CDA"/>
    <w:rsid w:val="00CF669E"/>
    <w:rsid w:val="00D12842"/>
    <w:rsid w:val="00D33929"/>
    <w:rsid w:val="00D5707D"/>
    <w:rsid w:val="00D6725B"/>
    <w:rsid w:val="00D82E78"/>
    <w:rsid w:val="00DB22D8"/>
    <w:rsid w:val="00DE1427"/>
    <w:rsid w:val="00DF7624"/>
    <w:rsid w:val="00E14475"/>
    <w:rsid w:val="00E42809"/>
    <w:rsid w:val="00E62134"/>
    <w:rsid w:val="00E65E7A"/>
    <w:rsid w:val="00E75F0B"/>
    <w:rsid w:val="00EB3E81"/>
    <w:rsid w:val="00EB7337"/>
    <w:rsid w:val="00EC6AAE"/>
    <w:rsid w:val="00ED2FD0"/>
    <w:rsid w:val="00EF5351"/>
    <w:rsid w:val="00F32625"/>
    <w:rsid w:val="00F413BB"/>
    <w:rsid w:val="00F60BD7"/>
    <w:rsid w:val="00F81553"/>
    <w:rsid w:val="00FA69A0"/>
    <w:rsid w:val="00FC2708"/>
    <w:rsid w:val="00FE6108"/>
    <w:rsid w:val="778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6BB2"/>
  <w15:docId w15:val="{79803CFF-981B-5E46-BDE2-EF97B4E3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D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F60B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60B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60B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60B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60B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60B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60BD7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sid w:val="00F60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F60B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F60BD7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0BD7"/>
    <w:rPr>
      <w:b/>
      <w:bCs/>
    </w:rPr>
  </w:style>
  <w:style w:type="paragraph" w:styleId="ab">
    <w:name w:val="Title"/>
    <w:basedOn w:val="a"/>
    <w:next w:val="a"/>
    <w:uiPriority w:val="10"/>
    <w:qFormat/>
    <w:rsid w:val="00F60BD7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uiPriority w:val="11"/>
    <w:qFormat/>
    <w:rsid w:val="00F60B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qFormat/>
    <w:rsid w:val="00F6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F60BD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qFormat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qFormat/>
    <w:rsid w:val="00F6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F60BD7"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F60BD7"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F60BD7"/>
    <w:rPr>
      <w:rFonts w:ascii="Segoe UI" w:hAnsi="Segoe UI" w:cs="Segoe UI"/>
      <w:sz w:val="18"/>
      <w:szCs w:val="18"/>
    </w:rPr>
  </w:style>
  <w:style w:type="table" w:customStyle="1" w:styleId="Style25">
    <w:name w:val="_Style 25"/>
    <w:basedOn w:val="TableNormal1"/>
    <w:qFormat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">
    <w:name w:val="_Style 26"/>
    <w:basedOn w:val="TableNormal1"/>
    <w:qFormat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TableNormal1"/>
    <w:qFormat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1"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1"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1"/>
    <w:qFormat/>
    <w:rsid w:val="00F60BD7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e">
    <w:name w:val="Placeholder Text"/>
    <w:basedOn w:val="a0"/>
    <w:uiPriority w:val="99"/>
    <w:semiHidden/>
    <w:qFormat/>
    <w:rsid w:val="00F60BD7"/>
    <w:rPr>
      <w:color w:val="808080"/>
    </w:rPr>
  </w:style>
  <w:style w:type="paragraph" w:styleId="af">
    <w:name w:val="List Paragraph"/>
    <w:basedOn w:val="a"/>
    <w:uiPriority w:val="34"/>
    <w:qFormat/>
    <w:rsid w:val="009A46F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en-US"/>
    </w:rPr>
  </w:style>
  <w:style w:type="character" w:customStyle="1" w:styleId="xfmc1">
    <w:name w:val="xfmc1"/>
    <w:basedOn w:val="a0"/>
    <w:rsid w:val="009A46F8"/>
  </w:style>
  <w:style w:type="character" w:styleId="af0">
    <w:name w:val="Emphasis"/>
    <w:basedOn w:val="a0"/>
    <w:uiPriority w:val="20"/>
    <w:qFormat/>
    <w:rsid w:val="007A057E"/>
    <w:rPr>
      <w:i/>
      <w:iCs/>
    </w:rPr>
  </w:style>
  <w:style w:type="paragraph" w:styleId="af1">
    <w:name w:val="Normal (Web)"/>
    <w:basedOn w:val="a"/>
    <w:uiPriority w:val="99"/>
    <w:unhideWhenUsed/>
    <w:rsid w:val="008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8703C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4B28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95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112</cp:revision>
  <cp:lastPrinted>2023-03-21T14:52:00Z</cp:lastPrinted>
  <dcterms:created xsi:type="dcterms:W3CDTF">2022-08-17T14:44:00Z</dcterms:created>
  <dcterms:modified xsi:type="dcterms:W3CDTF">2023-05-02T10:38:00Z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1F1F403662F045449BEC8C6E777D34DC</vt:lpwstr>
  </property>
</Properties>
</file>