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76" w:rsidRDefault="00794595" w:rsidP="00B70B77">
      <w:pPr>
        <w:ind w:left="-284"/>
        <w:jc w:val="center"/>
        <w:rPr>
          <w:color w:val="000000"/>
        </w:rPr>
      </w:pPr>
      <w:r>
        <w:rPr>
          <w:b/>
          <w:bCs/>
          <w:sz w:val="24"/>
          <w:szCs w:val="24"/>
          <w:lang w:val="uk-UA"/>
        </w:rPr>
        <w:t xml:space="preserve">      </w:t>
      </w:r>
      <w:r w:rsidR="007C6A37">
        <w:rPr>
          <w:b/>
          <w:bCs/>
          <w:sz w:val="24"/>
          <w:szCs w:val="24"/>
          <w:lang w:val="uk-UA"/>
        </w:rPr>
        <w:t xml:space="preserve">    </w:t>
      </w:r>
      <w:bookmarkStart w:id="0" w:name="_Hlk6986249"/>
      <w:bookmarkStart w:id="1" w:name="_Hlk5175906"/>
      <w:bookmarkStart w:id="2" w:name="_GoBack"/>
      <w:bookmarkEnd w:id="2"/>
    </w:p>
    <w:p w:rsidR="001812B0" w:rsidRDefault="007C6A37" w:rsidP="00E0449F">
      <w:pPr>
        <w:pStyle w:val="ac"/>
        <w:jc w:val="right"/>
        <w:rPr>
          <w:color w:val="000000"/>
        </w:rPr>
      </w:pPr>
      <w:r w:rsidRPr="00580FC3">
        <w:rPr>
          <w:color w:val="000000"/>
        </w:rPr>
        <w:t>Додаток №</w:t>
      </w:r>
      <w:r w:rsidR="007A73F7">
        <w:rPr>
          <w:color w:val="000000"/>
        </w:rPr>
        <w:t>3</w:t>
      </w:r>
    </w:p>
    <w:p w:rsidR="0098504E" w:rsidRDefault="001812B0" w:rsidP="0098504E">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bookmarkEnd w:id="0"/>
      <w:bookmarkEnd w:id="1"/>
    </w:p>
    <w:p w:rsidR="005A3F76" w:rsidRPr="005A3F76" w:rsidRDefault="005A3F76" w:rsidP="005A3F76">
      <w:pPr>
        <w:spacing w:line="0" w:lineRule="atLeast"/>
        <w:jc w:val="both"/>
        <w:rPr>
          <w:rFonts w:eastAsia="Calibri"/>
          <w:b/>
          <w:bCs/>
          <w:i/>
          <w:sz w:val="24"/>
          <w:szCs w:val="24"/>
          <w:lang w:val="uk-UA" w:eastAsia="en-US"/>
        </w:rPr>
      </w:pPr>
      <w:r>
        <w:rPr>
          <w:rFonts w:eastAsia="Calibri"/>
          <w:sz w:val="24"/>
          <w:szCs w:val="24"/>
          <w:lang w:val="uk-UA" w:eastAsia="en-US"/>
        </w:rPr>
        <w:t xml:space="preserve">              </w:t>
      </w:r>
      <w:r w:rsidRPr="005A3F76">
        <w:rPr>
          <w:rFonts w:eastAsia="Calibri"/>
          <w:sz w:val="24"/>
          <w:szCs w:val="24"/>
          <w:lang w:val="uk-UA" w:eastAsia="en-US"/>
        </w:rPr>
        <w:tab/>
      </w:r>
      <w:r w:rsidRPr="005A3F76">
        <w:rPr>
          <w:rFonts w:eastAsia="Calibri"/>
          <w:b/>
          <w:bCs/>
          <w:i/>
          <w:sz w:val="24"/>
          <w:szCs w:val="24"/>
          <w:lang w:val="uk-UA" w:eastAsia="en-US"/>
        </w:rPr>
        <w:t>Послуги з  шиномонтажу та балансуванню коліс</w:t>
      </w:r>
      <w:r>
        <w:rPr>
          <w:rFonts w:eastAsia="Calibri"/>
          <w:b/>
          <w:bCs/>
          <w:i/>
          <w:sz w:val="24"/>
          <w:szCs w:val="24"/>
          <w:lang w:val="uk-UA" w:eastAsia="en-US"/>
        </w:rPr>
        <w:t>,</w:t>
      </w:r>
      <w:r w:rsidRPr="005A3F76">
        <w:rPr>
          <w:rFonts w:eastAsia="Calibri"/>
          <w:b/>
          <w:bCs/>
          <w:i/>
          <w:sz w:val="24"/>
          <w:szCs w:val="24"/>
          <w:lang w:val="uk-UA" w:eastAsia="en-US"/>
        </w:rPr>
        <w:t xml:space="preserve"> </w:t>
      </w:r>
    </w:p>
    <w:p w:rsidR="005A3F76" w:rsidRDefault="005A3F76" w:rsidP="005A3F76">
      <w:pPr>
        <w:spacing w:line="0" w:lineRule="atLeast"/>
        <w:jc w:val="both"/>
        <w:rPr>
          <w:rFonts w:eastAsia="Calibri"/>
          <w:b/>
          <w:bCs/>
          <w:i/>
          <w:sz w:val="24"/>
          <w:szCs w:val="24"/>
          <w:lang w:val="uk-UA" w:eastAsia="en-US"/>
        </w:rPr>
      </w:pPr>
      <w:r w:rsidRPr="005A3F76">
        <w:rPr>
          <w:rFonts w:eastAsia="Calibri"/>
          <w:b/>
          <w:bCs/>
          <w:i/>
          <w:sz w:val="24"/>
          <w:szCs w:val="24"/>
          <w:lang w:val="uk-UA" w:eastAsia="en-US"/>
        </w:rPr>
        <w:t>ДК 021:2015   50110000-9 - Послуги з ремонту і технічного обслуговування мототранспортних засобів і супутнього обладнання</w:t>
      </w:r>
    </w:p>
    <w:p w:rsidR="00E02EC6" w:rsidRPr="00E02EC6" w:rsidRDefault="00E02EC6" w:rsidP="00E02EC6">
      <w:pPr>
        <w:spacing w:line="0" w:lineRule="atLeast"/>
        <w:jc w:val="both"/>
        <w:rPr>
          <w:rFonts w:eastAsia="Calibri"/>
          <w:sz w:val="24"/>
          <w:szCs w:val="24"/>
          <w:lang w:val="uk-UA" w:eastAsia="en-US"/>
        </w:rPr>
      </w:pPr>
      <w:r>
        <w:rPr>
          <w:rFonts w:eastAsia="Calibri"/>
          <w:sz w:val="24"/>
          <w:szCs w:val="24"/>
          <w:lang w:val="uk-UA" w:eastAsia="en-US"/>
        </w:rPr>
        <w:t>1.</w:t>
      </w:r>
      <w:r w:rsidRPr="00E02EC6">
        <w:rPr>
          <w:rFonts w:eastAsia="Calibri"/>
          <w:sz w:val="24"/>
          <w:szCs w:val="24"/>
          <w:lang w:val="uk-UA" w:eastAsia="en-US"/>
        </w:rPr>
        <w:t>Місце надання послуг - місце знаходження (адреса) станції технічного обслуговування  Учасника. Для скорочення експлуатаційних витрат Станція технічного обслуговування автомобілів (далі - СТО) Учасника повинна бути розміщена у м. Павлоград (за місцем знаходження транспортного засобу Замовника).</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2.Послуги з шиномонтажу та балансуванню коліс повинні виконуватись відповідно до вимог передбачених заводо</w:t>
      </w:r>
      <w:r w:rsidR="002B635F">
        <w:rPr>
          <w:rFonts w:eastAsia="Calibri"/>
          <w:sz w:val="24"/>
          <w:szCs w:val="24"/>
          <w:lang w:val="uk-UA" w:eastAsia="en-US"/>
        </w:rPr>
        <w:t>м</w:t>
      </w:r>
      <w:r w:rsidRPr="00E02EC6">
        <w:rPr>
          <w:rFonts w:eastAsia="Calibri"/>
          <w:sz w:val="24"/>
          <w:szCs w:val="24"/>
          <w:lang w:val="uk-UA" w:eastAsia="en-US"/>
        </w:rPr>
        <w:t xml:space="preserve"> виробником ТЗ та відповідати вимогам Закону України «Про автомобільний транспорт»,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№615та інших діючих в Україні нормативно-правових актів та нормативних документів, якими встанавлюються вимоги до якості Послуг даного виду транспорту.</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3.  Учасник повинен мати необхідне обладнання для надання послуг за предметом закупівлі.</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 xml:space="preserve">4. </w:t>
      </w:r>
      <w:r w:rsidR="002B635F">
        <w:rPr>
          <w:rFonts w:eastAsia="Calibri"/>
          <w:sz w:val="24"/>
          <w:szCs w:val="24"/>
          <w:lang w:eastAsia="en-US"/>
        </w:rPr>
        <w:t xml:space="preserve">Приймання послуг здійснюється </w:t>
      </w:r>
      <w:r w:rsidR="002B635F" w:rsidRPr="002B635F">
        <w:rPr>
          <w:rFonts w:eastAsia="Calibri"/>
          <w:sz w:val="24"/>
          <w:szCs w:val="24"/>
          <w:lang w:eastAsia="en-US"/>
        </w:rPr>
        <w:t xml:space="preserve">Замовником за місцем їх виконання у присутності </w:t>
      </w:r>
      <w:r w:rsidR="002B635F" w:rsidRPr="002B635F">
        <w:rPr>
          <w:rFonts w:eastAsia="Calibri"/>
          <w:sz w:val="24"/>
          <w:szCs w:val="24"/>
          <w:lang w:val="uk-UA" w:eastAsia="en-US"/>
        </w:rPr>
        <w:t xml:space="preserve">Учасника </w:t>
      </w:r>
      <w:r w:rsidR="002B635F" w:rsidRPr="002B635F">
        <w:rPr>
          <w:rFonts w:eastAsia="Calibri"/>
          <w:sz w:val="24"/>
          <w:szCs w:val="24"/>
          <w:lang w:eastAsia="en-US"/>
        </w:rPr>
        <w:t>не п</w:t>
      </w:r>
      <w:r w:rsidR="002B635F">
        <w:rPr>
          <w:rFonts w:eastAsia="Calibri"/>
          <w:sz w:val="24"/>
          <w:szCs w:val="24"/>
          <w:lang w:eastAsia="en-US"/>
        </w:rPr>
        <w:t xml:space="preserve">ізніше наступного робочого дня </w:t>
      </w:r>
      <w:r w:rsidR="002B635F" w:rsidRPr="002B635F">
        <w:rPr>
          <w:rFonts w:eastAsia="Calibri"/>
          <w:sz w:val="24"/>
          <w:szCs w:val="24"/>
          <w:lang w:eastAsia="en-US"/>
        </w:rPr>
        <w:t xml:space="preserve">після повідомлення </w:t>
      </w:r>
      <w:r w:rsidR="002B635F" w:rsidRPr="002B635F">
        <w:rPr>
          <w:rFonts w:eastAsia="Calibri"/>
          <w:sz w:val="24"/>
          <w:szCs w:val="24"/>
          <w:lang w:val="uk-UA" w:eastAsia="en-US"/>
        </w:rPr>
        <w:t>Учасником</w:t>
      </w:r>
      <w:r w:rsidR="002B635F" w:rsidRPr="002B635F">
        <w:rPr>
          <w:rFonts w:eastAsia="Calibri"/>
          <w:sz w:val="24"/>
          <w:szCs w:val="24"/>
          <w:lang w:eastAsia="en-US"/>
        </w:rPr>
        <w:t xml:space="preserve"> про завершення наданих послуг</w:t>
      </w:r>
      <w:r w:rsidRPr="00E02EC6">
        <w:rPr>
          <w:rFonts w:eastAsia="Calibri"/>
          <w:sz w:val="24"/>
          <w:szCs w:val="24"/>
          <w:lang w:val="uk-UA" w:eastAsia="en-US"/>
        </w:rPr>
        <w:t xml:space="preserve">. </w:t>
      </w:r>
      <w:r w:rsidR="002B635F" w:rsidRPr="002B635F">
        <w:rPr>
          <w:rFonts w:eastAsia="Calibri"/>
          <w:sz w:val="24"/>
          <w:szCs w:val="24"/>
          <w:lang w:val="uk-UA" w:eastAsia="en-US"/>
        </w:rPr>
        <w:t>Учасник зобов’язується взяти на шиномонтаж та балансування коліс   автотранспортні засоби Замовника позачергово протягом одного дня з моменту отримання письмової заявки або по телефону</w:t>
      </w:r>
      <w:r w:rsidRPr="00E02EC6">
        <w:rPr>
          <w:rFonts w:eastAsia="Calibri"/>
          <w:sz w:val="24"/>
          <w:szCs w:val="24"/>
          <w:lang w:val="uk-UA" w:eastAsia="en-US"/>
        </w:rPr>
        <w:t xml:space="preserve">. </w:t>
      </w:r>
    </w:p>
    <w:p w:rsidR="002B635F" w:rsidRPr="002B635F" w:rsidRDefault="00E02EC6" w:rsidP="002B635F">
      <w:pPr>
        <w:spacing w:line="0" w:lineRule="atLeast"/>
        <w:jc w:val="both"/>
        <w:rPr>
          <w:rFonts w:eastAsia="Calibri"/>
          <w:sz w:val="24"/>
          <w:szCs w:val="24"/>
          <w:lang w:val="uk-UA" w:eastAsia="en-US"/>
        </w:rPr>
      </w:pPr>
      <w:r w:rsidRPr="00E02EC6">
        <w:rPr>
          <w:rFonts w:eastAsia="Calibri"/>
          <w:sz w:val="24"/>
          <w:szCs w:val="24"/>
          <w:lang w:val="uk-UA" w:eastAsia="en-US"/>
        </w:rPr>
        <w:t xml:space="preserve">5. </w:t>
      </w:r>
      <w:r w:rsidR="002B635F" w:rsidRPr="002B635F">
        <w:rPr>
          <w:rFonts w:eastAsia="Calibri"/>
          <w:sz w:val="24"/>
          <w:szCs w:val="24"/>
          <w:lang w:val="uk-UA" w:eastAsia="en-US"/>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E02EC6" w:rsidRPr="00E02EC6" w:rsidRDefault="002B635F" w:rsidP="002B635F">
      <w:pPr>
        <w:spacing w:line="0" w:lineRule="atLeast"/>
        <w:jc w:val="both"/>
        <w:rPr>
          <w:rFonts w:eastAsia="Calibri"/>
          <w:sz w:val="24"/>
          <w:szCs w:val="24"/>
          <w:lang w:val="uk-UA" w:eastAsia="en-US"/>
        </w:rPr>
      </w:pPr>
      <w:r w:rsidRPr="002B635F">
        <w:rPr>
          <w:rFonts w:eastAsia="Calibri"/>
          <w:sz w:val="24"/>
          <w:szCs w:val="24"/>
          <w:lang w:val="uk-UA" w:eastAsia="en-US"/>
        </w:rPr>
        <w:t>Кінцевий строк надання послуг – 19.06.2023 року</w:t>
      </w:r>
      <w:r w:rsidR="00E02EC6" w:rsidRPr="00E02EC6">
        <w:rPr>
          <w:rFonts w:eastAsia="Calibri"/>
          <w:sz w:val="24"/>
          <w:szCs w:val="24"/>
          <w:lang w:val="uk-UA" w:eastAsia="en-US"/>
        </w:rPr>
        <w:t>.</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6. В одну послугу входить шиномонтаж та балансування 1 колеса.</w:t>
      </w:r>
    </w:p>
    <w:p w:rsidR="005A3F76" w:rsidRPr="004D381A" w:rsidRDefault="00E02EC6" w:rsidP="00E02EC6">
      <w:pPr>
        <w:spacing w:line="0" w:lineRule="atLeast"/>
        <w:jc w:val="both"/>
        <w:rPr>
          <w:rFonts w:eastAsia="Calibri"/>
          <w:b/>
          <w:i/>
          <w:sz w:val="24"/>
          <w:szCs w:val="24"/>
          <w:lang w:val="uk-UA" w:eastAsia="en-US"/>
        </w:rPr>
      </w:pPr>
      <w:r w:rsidRPr="00E02EC6">
        <w:rPr>
          <w:rFonts w:eastAsia="Calibri"/>
          <w:sz w:val="24"/>
          <w:szCs w:val="24"/>
          <w:lang w:val="uk-UA" w:eastAsia="en-US"/>
        </w:rPr>
        <w:t xml:space="preserve">7. Обсяг та перелік послуг  з шиномонтажу та балансуванню коліс згідно з технічною специфікацією, яка наведена в Таблиці №1. </w:t>
      </w:r>
    </w:p>
    <w:p w:rsidR="005A3F76" w:rsidRPr="005A3F76" w:rsidRDefault="005A3F76" w:rsidP="002B635F">
      <w:pPr>
        <w:spacing w:line="0" w:lineRule="atLeast"/>
        <w:jc w:val="center"/>
        <w:rPr>
          <w:rFonts w:eastAsia="Calibri"/>
          <w:sz w:val="24"/>
          <w:szCs w:val="24"/>
          <w:lang w:eastAsia="en-US"/>
        </w:rPr>
      </w:pPr>
      <w:r w:rsidRPr="005A3F76">
        <w:rPr>
          <w:rFonts w:eastAsia="Calibri"/>
          <w:b/>
          <w:i/>
          <w:sz w:val="24"/>
          <w:szCs w:val="24"/>
          <w:lang w:eastAsia="en-US"/>
        </w:rPr>
        <w:t>Технічна специфікація</w:t>
      </w:r>
    </w:p>
    <w:tbl>
      <w:tblPr>
        <w:tblW w:w="8632" w:type="dxa"/>
        <w:jc w:val="center"/>
        <w:tblLayout w:type="fixed"/>
        <w:tblLook w:val="0000" w:firstRow="0" w:lastRow="0" w:firstColumn="0" w:lastColumn="0" w:noHBand="0" w:noVBand="0"/>
      </w:tblPr>
      <w:tblGrid>
        <w:gridCol w:w="597"/>
        <w:gridCol w:w="5295"/>
        <w:gridCol w:w="1509"/>
        <w:gridCol w:w="1231"/>
      </w:tblGrid>
      <w:tr w:rsidR="005A3F76" w:rsidRPr="005A3F76" w:rsidTr="00514101">
        <w:trPr>
          <w:trHeight w:val="542"/>
          <w:jc w:val="center"/>
        </w:trPr>
        <w:tc>
          <w:tcPr>
            <w:tcW w:w="597" w:type="dxa"/>
            <w:tcBorders>
              <w:top w:val="single" w:sz="12" w:space="0" w:color="auto"/>
              <w:left w:val="single" w:sz="12" w:space="0" w:color="auto"/>
              <w:bottom w:val="single" w:sz="12" w:space="0" w:color="auto"/>
              <w:right w:val="single" w:sz="12" w:space="0" w:color="auto"/>
            </w:tcBorders>
          </w:tcPr>
          <w:p w:rsidR="005A3F76" w:rsidRPr="005A3F76" w:rsidRDefault="005A3F76" w:rsidP="005A3F76">
            <w:pPr>
              <w:spacing w:line="0" w:lineRule="atLeast"/>
              <w:jc w:val="both"/>
              <w:rPr>
                <w:rFonts w:eastAsia="Calibri"/>
                <w:bCs/>
                <w:sz w:val="24"/>
                <w:szCs w:val="24"/>
                <w:lang w:eastAsia="en-US"/>
              </w:rPr>
            </w:pPr>
            <w:r w:rsidRPr="005A3F76">
              <w:rPr>
                <w:rFonts w:eastAsia="Calibri"/>
                <w:bCs/>
                <w:sz w:val="24"/>
                <w:szCs w:val="24"/>
                <w:lang w:eastAsia="en-US"/>
              </w:rPr>
              <w:t>№ з/п</w:t>
            </w:r>
          </w:p>
        </w:tc>
        <w:tc>
          <w:tcPr>
            <w:tcW w:w="5295" w:type="dxa"/>
            <w:tcBorders>
              <w:top w:val="single" w:sz="12" w:space="0" w:color="auto"/>
              <w:left w:val="nil"/>
              <w:bottom w:val="single" w:sz="12" w:space="0" w:color="auto"/>
              <w:right w:val="single" w:sz="4"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Найменування послуг</w:t>
            </w:r>
          </w:p>
        </w:tc>
        <w:tc>
          <w:tcPr>
            <w:tcW w:w="1509" w:type="dxa"/>
            <w:tcBorders>
              <w:top w:val="single" w:sz="12" w:space="0" w:color="auto"/>
              <w:left w:val="single" w:sz="4" w:space="0" w:color="auto"/>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Одиниця виміру</w:t>
            </w:r>
          </w:p>
        </w:tc>
        <w:tc>
          <w:tcPr>
            <w:tcW w:w="1231" w:type="dxa"/>
            <w:tcBorders>
              <w:top w:val="single" w:sz="12" w:space="0" w:color="auto"/>
              <w:left w:val="nil"/>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кількість</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1</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R14)</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2</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R16)</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8</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3</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R19)</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4</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R17,5)</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bl>
    <w:p w:rsidR="005A3F76" w:rsidRPr="005A3F76" w:rsidRDefault="005A3F76" w:rsidP="005A3F76">
      <w:pPr>
        <w:spacing w:line="0" w:lineRule="atLeast"/>
        <w:jc w:val="both"/>
        <w:rPr>
          <w:rFonts w:eastAsia="Calibri"/>
          <w:sz w:val="24"/>
          <w:szCs w:val="24"/>
          <w:lang w:eastAsia="en-US"/>
        </w:rPr>
      </w:pPr>
    </w:p>
    <w:p w:rsidR="0098504E" w:rsidRPr="005A3F76" w:rsidRDefault="0098504E" w:rsidP="0098504E">
      <w:pPr>
        <w:spacing w:line="0" w:lineRule="atLeast"/>
        <w:jc w:val="both"/>
        <w:rPr>
          <w:rFonts w:eastAsia="Calibri"/>
          <w:sz w:val="24"/>
          <w:szCs w:val="24"/>
          <w:lang w:val="uk-UA" w:eastAsia="en-US"/>
        </w:rPr>
      </w:pPr>
    </w:p>
    <w:sectPr w:rsidR="0098504E" w:rsidRPr="005A3F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7" w:rsidRDefault="00E32B77">
      <w:r>
        <w:separator/>
      </w:r>
    </w:p>
  </w:endnote>
  <w:endnote w:type="continuationSeparator" w:id="0">
    <w:p w:rsidR="00E32B77" w:rsidRDefault="00E3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Pr="004E275E" w:rsidRDefault="00E32B7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7" w:rsidRDefault="00E32B77">
      <w:r>
        <w:separator/>
      </w:r>
    </w:p>
  </w:footnote>
  <w:footnote w:type="continuationSeparator" w:id="0">
    <w:p w:rsidR="00E32B77" w:rsidRDefault="00E32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Default="00E32B7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70B77">
      <w:rPr>
        <w:rStyle w:val="a3"/>
        <w:noProof/>
      </w:rPr>
      <w:t>2</w:t>
    </w:r>
    <w:r>
      <w:rPr>
        <w:rStyle w:val="a3"/>
      </w:rPr>
      <w:fldChar w:fldCharType="end"/>
    </w:r>
  </w:p>
  <w:p w:rsidR="00E32B77" w:rsidRPr="00916578" w:rsidRDefault="00E32B77">
    <w:pPr>
      <w:pStyle w:val="a8"/>
      <w:ind w:right="360"/>
      <w:rPr>
        <w:lang w:val="uk-UA"/>
      </w:rPr>
    </w:pPr>
    <w:r>
      <w:rPr>
        <w:lang w:val="uk-UA"/>
      </w:rPr>
      <w:t xml:space="preserve"> </w:t>
    </w:r>
  </w:p>
  <w:p w:rsidR="00E32B77" w:rsidRDefault="00E32B77"/>
  <w:p w:rsidR="00E32B77" w:rsidRDefault="00E32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77"/>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8D86-E765-4B03-92DD-4B3B896A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306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38</cp:revision>
  <cp:lastPrinted>2023-03-28T11:46:00Z</cp:lastPrinted>
  <dcterms:created xsi:type="dcterms:W3CDTF">2023-03-23T12:59:00Z</dcterms:created>
  <dcterms:modified xsi:type="dcterms:W3CDTF">2023-03-30T10:40:00Z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