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C" w:rsidRPr="00B66E69" w:rsidRDefault="008447FC" w:rsidP="008447FC">
      <w:pPr>
        <w:ind w:right="-25"/>
        <w:jc w:val="center"/>
        <w:rPr>
          <w:b/>
          <w:sz w:val="26"/>
          <w:szCs w:val="26"/>
        </w:rPr>
      </w:pPr>
    </w:p>
    <w:p w:rsidR="008447FC" w:rsidRPr="00455F7C" w:rsidRDefault="008447FC" w:rsidP="008447FC">
      <w:pPr>
        <w:jc w:val="center"/>
        <w:rPr>
          <w:b/>
        </w:rPr>
      </w:pPr>
      <w:r w:rsidRPr="00455F7C">
        <w:rPr>
          <w:b/>
        </w:rPr>
        <w:t>ВІДДІЛ ОСВІТИ, КУЛЬТУРИ, МОЛОДІ ТА СПОРТУ</w:t>
      </w:r>
    </w:p>
    <w:p w:rsidR="008447FC" w:rsidRPr="00455F7C" w:rsidRDefault="008447FC" w:rsidP="008447FC">
      <w:pPr>
        <w:jc w:val="center"/>
        <w:rPr>
          <w:b/>
        </w:rPr>
      </w:pPr>
      <w:r w:rsidRPr="00455F7C">
        <w:rPr>
          <w:b/>
        </w:rPr>
        <w:t>П</w:t>
      </w:r>
      <w:r w:rsidRPr="00455F7C">
        <w:rPr>
          <w:b/>
          <w:lang w:val="ru-RU"/>
        </w:rPr>
        <w:t>АНТАЇ</w:t>
      </w:r>
      <w:r w:rsidRPr="00455F7C">
        <w:rPr>
          <w:b/>
        </w:rPr>
        <w:t xml:space="preserve">ВСЬКОЇ СЕЛИЩНОЇ РАДИ </w:t>
      </w:r>
    </w:p>
    <w:p w:rsidR="008447FC" w:rsidRPr="00455F7C" w:rsidRDefault="008447FC" w:rsidP="008447FC">
      <w:pPr>
        <w:jc w:val="center"/>
        <w:rPr>
          <w:b/>
        </w:rPr>
      </w:pPr>
      <w:r w:rsidRPr="00455F7C">
        <w:rPr>
          <w:b/>
        </w:rPr>
        <w:t>ОЛЕКСАНДРІЙСЬКОГО РАЙОНУ</w:t>
      </w:r>
    </w:p>
    <w:p w:rsidR="008447FC" w:rsidRPr="00455F7C" w:rsidRDefault="008447FC" w:rsidP="008447FC">
      <w:pPr>
        <w:jc w:val="center"/>
        <w:rPr>
          <w:b/>
        </w:rPr>
      </w:pPr>
      <w:r w:rsidRPr="00455F7C">
        <w:rPr>
          <w:b/>
        </w:rPr>
        <w:t xml:space="preserve"> КІРОВОГРАДСЬКОЇ ОБЛАСТІ</w:t>
      </w:r>
    </w:p>
    <w:p w:rsidR="008447FC" w:rsidRPr="00455F7C" w:rsidRDefault="008447FC" w:rsidP="008447FC">
      <w:pPr>
        <w:jc w:val="center"/>
        <w:rPr>
          <w:b/>
        </w:rPr>
      </w:pPr>
    </w:p>
    <w:p w:rsidR="008447FC" w:rsidRPr="00455F7C" w:rsidRDefault="008447FC" w:rsidP="008447FC">
      <w:pPr>
        <w:jc w:val="center"/>
        <w:rPr>
          <w:b/>
          <w:bCs/>
          <w:noProof/>
        </w:rPr>
      </w:pPr>
      <w:r w:rsidRPr="00455F7C">
        <w:rPr>
          <w:b/>
        </w:rPr>
        <w:t>ПЕРЕЛІК ЗМІН, ЩО ВНОСЯТЬСЯ ДО ТЕНДЕРНОЇ ДОКУМЕНТАЦІЇ</w:t>
      </w:r>
    </w:p>
    <w:p w:rsidR="008447FC" w:rsidRPr="00455F7C" w:rsidRDefault="008447FC" w:rsidP="008447FC">
      <w:pPr>
        <w:ind w:left="-1418"/>
        <w:jc w:val="center"/>
        <w:rPr>
          <w:b/>
        </w:rPr>
      </w:pPr>
    </w:p>
    <w:p w:rsidR="008447FC" w:rsidRPr="00455F7C" w:rsidRDefault="006245FC" w:rsidP="006245FC">
      <w:pPr>
        <w:tabs>
          <w:tab w:val="left" w:pos="4219"/>
        </w:tabs>
      </w:pPr>
      <w:r w:rsidRPr="00455F7C">
        <w:rPr>
          <w:b/>
        </w:rPr>
        <w:t xml:space="preserve">Згідно з Протоколом </w:t>
      </w:r>
      <w:r w:rsidR="008447FC" w:rsidRPr="00455F7C">
        <w:rPr>
          <w:b/>
          <w:bCs/>
        </w:rPr>
        <w:t xml:space="preserve"> уповноваженої особи  №</w:t>
      </w:r>
      <w:r w:rsidR="00912994">
        <w:rPr>
          <w:b/>
          <w:bCs/>
        </w:rPr>
        <w:t xml:space="preserve"> </w:t>
      </w:r>
      <w:r w:rsidR="00890DC1">
        <w:rPr>
          <w:b/>
          <w:bCs/>
        </w:rPr>
        <w:t>176</w:t>
      </w:r>
      <w:r w:rsidR="008447FC" w:rsidRPr="007D4C30">
        <w:rPr>
          <w:b/>
          <w:bCs/>
        </w:rPr>
        <w:t xml:space="preserve"> від </w:t>
      </w:r>
      <w:r w:rsidR="00890DC1">
        <w:rPr>
          <w:b/>
          <w:bCs/>
        </w:rPr>
        <w:t>17</w:t>
      </w:r>
      <w:r w:rsidR="008447FC" w:rsidRPr="007D4C30">
        <w:rPr>
          <w:b/>
          <w:bCs/>
        </w:rPr>
        <w:t>.</w:t>
      </w:r>
      <w:r w:rsidR="007D4C30" w:rsidRPr="007D4C30">
        <w:rPr>
          <w:b/>
          <w:bCs/>
        </w:rPr>
        <w:t>10</w:t>
      </w:r>
      <w:r w:rsidR="008447FC" w:rsidRPr="007D4C30">
        <w:rPr>
          <w:b/>
          <w:bCs/>
          <w:color w:val="000000"/>
        </w:rPr>
        <w:t>.2023 року</w:t>
      </w:r>
      <w:r w:rsidR="008447FC" w:rsidRPr="00455F7C">
        <w:rPr>
          <w:b/>
          <w:bCs/>
          <w:color w:val="000000"/>
        </w:rPr>
        <w:t xml:space="preserve"> </w:t>
      </w:r>
      <w:r w:rsidR="008447FC" w:rsidRPr="00455F7C">
        <w:rPr>
          <w:b/>
        </w:rPr>
        <w:t xml:space="preserve">                        </w:t>
      </w:r>
    </w:p>
    <w:p w:rsidR="008447FC" w:rsidRPr="00455F7C" w:rsidRDefault="008447FC" w:rsidP="001C0029">
      <w:pPr>
        <w:tabs>
          <w:tab w:val="left" w:pos="426"/>
        </w:tabs>
        <w:ind w:right="1275"/>
        <w:jc w:val="center"/>
        <w:rPr>
          <w:b/>
          <w:bCs/>
          <w:color w:val="000000"/>
        </w:rPr>
      </w:pPr>
      <w:r w:rsidRPr="00455F7C">
        <w:rPr>
          <w:b/>
        </w:rPr>
        <w:t>по предмету:</w:t>
      </w:r>
      <w:r w:rsidR="001C0029" w:rsidRPr="00455F7C">
        <w:rPr>
          <w:b/>
        </w:rPr>
        <w:t xml:space="preserve"> </w:t>
      </w:r>
      <w:proofErr w:type="spellStart"/>
      <w:r w:rsidRPr="00455F7C">
        <w:rPr>
          <w:b/>
          <w:bCs/>
          <w:color w:val="000000"/>
        </w:rPr>
        <w:t>ДК</w:t>
      </w:r>
      <w:proofErr w:type="spellEnd"/>
      <w:r w:rsidRPr="00455F7C">
        <w:rPr>
          <w:b/>
          <w:bCs/>
          <w:color w:val="000000"/>
        </w:rPr>
        <w:t xml:space="preserve"> 021:2015 09110000-3 Тверде паливо</w:t>
      </w:r>
    </w:p>
    <w:p w:rsidR="008447FC" w:rsidRPr="00455F7C" w:rsidRDefault="008447FC" w:rsidP="001C0029">
      <w:pPr>
        <w:tabs>
          <w:tab w:val="left" w:pos="426"/>
        </w:tabs>
        <w:ind w:right="1275"/>
        <w:jc w:val="center"/>
        <w:rPr>
          <w:b/>
          <w:color w:val="000000"/>
        </w:rPr>
      </w:pPr>
      <w:r w:rsidRPr="00455F7C">
        <w:rPr>
          <w:b/>
          <w:bCs/>
          <w:color w:val="000000"/>
        </w:rPr>
        <w:t xml:space="preserve">(вугілля кам'яне марки </w:t>
      </w:r>
      <w:proofErr w:type="spellStart"/>
      <w:r w:rsidRPr="00455F7C">
        <w:rPr>
          <w:b/>
          <w:bCs/>
          <w:color w:val="000000"/>
        </w:rPr>
        <w:t>ДГ</w:t>
      </w:r>
      <w:proofErr w:type="spellEnd"/>
      <w:r w:rsidRPr="00455F7C">
        <w:rPr>
          <w:b/>
          <w:bCs/>
          <w:color w:val="000000"/>
        </w:rPr>
        <w:t xml:space="preserve"> 13-100 з доставкою) 09111100-1 Вугілля</w:t>
      </w:r>
      <w:r w:rsidR="001C0029" w:rsidRPr="00455F7C">
        <w:rPr>
          <w:b/>
          <w:bCs/>
          <w:color w:val="000000"/>
        </w:rPr>
        <w:t xml:space="preserve">, </w:t>
      </w:r>
      <w:r w:rsidRPr="00455F7C">
        <w:rPr>
          <w:b/>
          <w:bCs/>
          <w:color w:val="000000"/>
        </w:rPr>
        <w:t xml:space="preserve"> ідентифікатор закупівлі</w:t>
      </w:r>
      <w:r w:rsidR="001C0029" w:rsidRPr="00455F7C">
        <w:rPr>
          <w:b/>
          <w:bCs/>
          <w:color w:val="000000"/>
        </w:rPr>
        <w:t xml:space="preserve"> </w:t>
      </w:r>
      <w:r w:rsidR="001C0029" w:rsidRPr="00455F7C">
        <w:rPr>
          <w:b/>
          <w:color w:val="000000"/>
        </w:rPr>
        <w:t>№ UA-2023-09-04-009891-а.</w:t>
      </w:r>
    </w:p>
    <w:p w:rsidR="006245FC" w:rsidRPr="00455F7C" w:rsidRDefault="006245FC" w:rsidP="006245FC">
      <w:pPr>
        <w:tabs>
          <w:tab w:val="left" w:pos="0"/>
        </w:tabs>
        <w:ind w:right="-1" w:firstLine="567"/>
        <w:jc w:val="both"/>
        <w:rPr>
          <w:color w:val="000000"/>
        </w:rPr>
      </w:pPr>
    </w:p>
    <w:p w:rsidR="003D57BB" w:rsidRPr="00455F7C" w:rsidRDefault="006245FC" w:rsidP="006245FC">
      <w:pPr>
        <w:tabs>
          <w:tab w:val="left" w:pos="0"/>
        </w:tabs>
        <w:ind w:right="-1" w:firstLine="567"/>
        <w:jc w:val="both"/>
        <w:rPr>
          <w:color w:val="000000"/>
        </w:rPr>
      </w:pPr>
      <w:r w:rsidRPr="00455F7C">
        <w:rPr>
          <w:b/>
          <w:color w:val="000000"/>
        </w:rPr>
        <w:t>Згідно пункту 51 Постанови Кабінету Міністрів України від 12 жовтня 2022 року  №1178»</w:t>
      </w:r>
      <w:r w:rsidR="00FD5C62" w:rsidRPr="00455F7C">
        <w:rPr>
          <w:b/>
          <w:color w:val="000000"/>
        </w:rPr>
        <w:t xml:space="preserve"> </w:t>
      </w:r>
      <w:r w:rsidRPr="00455F7C">
        <w:rPr>
          <w:b/>
          <w:color w:val="000000"/>
        </w:rPr>
        <w:t xml:space="preserve">Про затвердження особливостей здійснення публічних закупівель </w:t>
      </w:r>
      <w:r w:rsidR="00FD5C62" w:rsidRPr="00455F7C">
        <w:rPr>
          <w:b/>
          <w:color w:val="000000"/>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D5C62" w:rsidRPr="00455F7C">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3D57BB" w:rsidRPr="00455F7C">
        <w:rPr>
          <w:color w:val="000000"/>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45FC" w:rsidRPr="00455F7C" w:rsidRDefault="003D57BB" w:rsidP="006245FC">
      <w:pPr>
        <w:tabs>
          <w:tab w:val="left" w:pos="0"/>
        </w:tabs>
        <w:ind w:right="-1" w:firstLine="567"/>
        <w:jc w:val="both"/>
        <w:rPr>
          <w:color w:val="000000"/>
        </w:rPr>
      </w:pPr>
      <w:r w:rsidRPr="00455F7C">
        <w:rPr>
          <w:color w:val="000000"/>
        </w:rPr>
        <w:t>Зміни, що вносяться замов</w:t>
      </w:r>
      <w:r w:rsidR="00912994">
        <w:rPr>
          <w:color w:val="000000"/>
        </w:rPr>
        <w:t>ником до тендерної документації</w:t>
      </w:r>
      <w:r w:rsidRPr="00455F7C">
        <w:rPr>
          <w:color w:val="000000"/>
        </w:rPr>
        <w:t xml:space="preserve">,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протягом одного дня з дати прийняття </w:t>
      </w:r>
      <w:r w:rsidR="00231A12" w:rsidRPr="00455F7C">
        <w:rPr>
          <w:color w:val="000000"/>
        </w:rPr>
        <w:t>рішення про їх внесення…»</w:t>
      </w:r>
      <w:r w:rsidRPr="00455F7C">
        <w:rPr>
          <w:color w:val="000000"/>
        </w:rPr>
        <w:t xml:space="preserve"> </w:t>
      </w:r>
      <w:r w:rsidR="00FD5C62" w:rsidRPr="00455F7C">
        <w:rPr>
          <w:color w:val="000000"/>
        </w:rPr>
        <w:t xml:space="preserve"> </w:t>
      </w:r>
    </w:p>
    <w:p w:rsidR="009C60DF" w:rsidRPr="00455F7C" w:rsidRDefault="009C60DF" w:rsidP="009C60DF">
      <w:pPr>
        <w:tabs>
          <w:tab w:val="left" w:pos="426"/>
        </w:tabs>
        <w:ind w:right="1275"/>
        <w:jc w:val="center"/>
        <w:rPr>
          <w:b/>
          <w:color w:val="000000"/>
        </w:rPr>
      </w:pPr>
    </w:p>
    <w:p w:rsidR="009C60DF" w:rsidRPr="00455F7C" w:rsidRDefault="007122FC" w:rsidP="009C60DF">
      <w:pPr>
        <w:tabs>
          <w:tab w:val="left" w:pos="426"/>
        </w:tabs>
        <w:ind w:right="1275"/>
        <w:jc w:val="center"/>
        <w:rPr>
          <w:b/>
          <w:color w:val="000000"/>
        </w:rPr>
      </w:pPr>
      <w:r w:rsidRPr="00455F7C">
        <w:rPr>
          <w:b/>
          <w:color w:val="000000"/>
        </w:rPr>
        <w:t>П</w:t>
      </w:r>
      <w:r w:rsidR="009C60DF" w:rsidRPr="00455F7C">
        <w:rPr>
          <w:b/>
          <w:color w:val="000000"/>
        </w:rPr>
        <w:t>ерелік змін до тендерної документації у відкритих торгах з особливостями</w:t>
      </w:r>
      <w:r w:rsidRPr="00455F7C">
        <w:rPr>
          <w:b/>
          <w:color w:val="000000"/>
        </w:rPr>
        <w:t xml:space="preserve"> </w:t>
      </w:r>
      <w:r w:rsidR="009C60DF" w:rsidRPr="00455F7C">
        <w:rPr>
          <w:b/>
          <w:color w:val="000000"/>
        </w:rPr>
        <w:t>(UA-2023-09-04-009891-а)</w:t>
      </w:r>
    </w:p>
    <w:p w:rsidR="00192227" w:rsidRPr="00455F7C" w:rsidRDefault="00192227" w:rsidP="009C60DF">
      <w:pPr>
        <w:tabs>
          <w:tab w:val="left" w:pos="426"/>
        </w:tabs>
        <w:ind w:right="1275"/>
        <w:jc w:val="center"/>
        <w:rPr>
          <w:b/>
          <w:color w:val="000000"/>
        </w:rPr>
      </w:pPr>
    </w:p>
    <w:tbl>
      <w:tblPr>
        <w:tblStyle w:val="a5"/>
        <w:tblW w:w="9606" w:type="dxa"/>
        <w:tblLayout w:type="fixed"/>
        <w:tblLook w:val="04A0"/>
      </w:tblPr>
      <w:tblGrid>
        <w:gridCol w:w="2704"/>
        <w:gridCol w:w="2507"/>
        <w:gridCol w:w="4395"/>
      </w:tblGrid>
      <w:tr w:rsidR="007122FC" w:rsidRPr="00455F7C" w:rsidTr="00A56C28">
        <w:tc>
          <w:tcPr>
            <w:tcW w:w="2704" w:type="dxa"/>
          </w:tcPr>
          <w:p w:rsidR="007122FC" w:rsidRPr="00455F7C" w:rsidRDefault="007122FC" w:rsidP="009C60DF">
            <w:pPr>
              <w:tabs>
                <w:tab w:val="left" w:pos="426"/>
              </w:tabs>
              <w:ind w:right="1275"/>
              <w:jc w:val="center"/>
              <w:rPr>
                <w:b/>
                <w:color w:val="000000"/>
                <w:sz w:val="24"/>
                <w:szCs w:val="24"/>
              </w:rPr>
            </w:pPr>
            <w:r w:rsidRPr="00455F7C">
              <w:rPr>
                <w:b/>
                <w:color w:val="000000"/>
                <w:sz w:val="24"/>
                <w:szCs w:val="24"/>
              </w:rPr>
              <w:t>Посилання</w:t>
            </w:r>
          </w:p>
        </w:tc>
        <w:tc>
          <w:tcPr>
            <w:tcW w:w="2507" w:type="dxa"/>
          </w:tcPr>
          <w:p w:rsidR="007122FC" w:rsidRPr="00455F7C" w:rsidRDefault="007122FC" w:rsidP="007122FC">
            <w:pPr>
              <w:tabs>
                <w:tab w:val="left" w:pos="0"/>
              </w:tabs>
              <w:ind w:right="12"/>
              <w:jc w:val="center"/>
              <w:rPr>
                <w:b/>
                <w:color w:val="000000"/>
                <w:sz w:val="24"/>
                <w:szCs w:val="24"/>
              </w:rPr>
            </w:pPr>
            <w:r w:rsidRPr="00455F7C">
              <w:rPr>
                <w:b/>
                <w:color w:val="000000"/>
                <w:sz w:val="24"/>
                <w:szCs w:val="24"/>
              </w:rPr>
              <w:t>Стара редакція тендерної документації</w:t>
            </w:r>
            <w:r w:rsidR="00B66E69" w:rsidRPr="00455F7C">
              <w:rPr>
                <w:b/>
                <w:color w:val="000000"/>
                <w:sz w:val="24"/>
                <w:szCs w:val="24"/>
              </w:rPr>
              <w:t xml:space="preserve"> </w:t>
            </w:r>
          </w:p>
        </w:tc>
        <w:tc>
          <w:tcPr>
            <w:tcW w:w="4395" w:type="dxa"/>
          </w:tcPr>
          <w:p w:rsidR="007122FC" w:rsidRPr="00455F7C" w:rsidRDefault="007122FC" w:rsidP="007122FC">
            <w:pPr>
              <w:tabs>
                <w:tab w:val="left" w:pos="0"/>
              </w:tabs>
              <w:ind w:right="-1"/>
              <w:jc w:val="center"/>
              <w:rPr>
                <w:b/>
                <w:color w:val="000000"/>
                <w:sz w:val="24"/>
                <w:szCs w:val="24"/>
              </w:rPr>
            </w:pPr>
            <w:r w:rsidRPr="00455F7C">
              <w:rPr>
                <w:b/>
                <w:color w:val="000000"/>
                <w:sz w:val="24"/>
                <w:szCs w:val="24"/>
              </w:rPr>
              <w:t>Нова редакція тендерної документації</w:t>
            </w:r>
          </w:p>
        </w:tc>
      </w:tr>
      <w:tr w:rsidR="00C540B0" w:rsidRPr="00455F7C" w:rsidTr="00A56C28">
        <w:tc>
          <w:tcPr>
            <w:tcW w:w="2704" w:type="dxa"/>
          </w:tcPr>
          <w:p w:rsidR="00C540B0" w:rsidRPr="00200721" w:rsidRDefault="00200721" w:rsidP="00C540B0">
            <w:pPr>
              <w:ind w:right="142"/>
              <w:rPr>
                <w:u w:val="single"/>
              </w:rPr>
            </w:pPr>
            <w:r w:rsidRPr="00200721">
              <w:rPr>
                <w:b/>
              </w:rPr>
              <w:t>Розділ ІІІ «Інструкція з підготовки тендерних пропозицій»</w:t>
            </w:r>
            <w:r>
              <w:t xml:space="preserve"> </w:t>
            </w:r>
            <w:r w:rsidR="00834FF0" w:rsidRPr="008F723C">
              <w:rPr>
                <w:u w:val="single"/>
              </w:rPr>
              <w:t>Забезпечення тендерної пропозиції</w:t>
            </w:r>
          </w:p>
          <w:p w:rsidR="00C540B0" w:rsidRPr="00455F7C" w:rsidRDefault="00C540B0" w:rsidP="009C60DF">
            <w:pPr>
              <w:tabs>
                <w:tab w:val="left" w:pos="426"/>
              </w:tabs>
              <w:ind w:right="1275"/>
              <w:jc w:val="center"/>
              <w:rPr>
                <w:b/>
                <w:color w:val="000000"/>
              </w:rPr>
            </w:pPr>
          </w:p>
        </w:tc>
        <w:tc>
          <w:tcPr>
            <w:tcW w:w="2507" w:type="dxa"/>
          </w:tcPr>
          <w:p w:rsidR="00C540B0" w:rsidRPr="00455F7C" w:rsidRDefault="00834FF0" w:rsidP="0028650E">
            <w:pPr>
              <w:tabs>
                <w:tab w:val="left" w:pos="0"/>
              </w:tabs>
              <w:ind w:right="12"/>
              <w:jc w:val="both"/>
              <w:rPr>
                <w:b/>
                <w:color w:val="000000"/>
              </w:rPr>
            </w:pPr>
            <w:r w:rsidRPr="00947C57">
              <w:t>Забезпечення тендерної пропозиції не вимагається</w:t>
            </w:r>
          </w:p>
        </w:tc>
        <w:tc>
          <w:tcPr>
            <w:tcW w:w="4395" w:type="dxa"/>
          </w:tcPr>
          <w:p w:rsidR="00563AF7" w:rsidRPr="00303E46" w:rsidRDefault="00B703B0" w:rsidP="00B703B0">
            <w:pPr>
              <w:tabs>
                <w:tab w:val="left" w:pos="0"/>
              </w:tabs>
              <w:ind w:right="-1"/>
              <w:jc w:val="both"/>
              <w:rPr>
                <w:color w:val="000000"/>
              </w:rPr>
            </w:pPr>
            <w:r w:rsidRPr="00303E46">
              <w:rPr>
                <w:bCs/>
              </w:rPr>
              <w:t xml:space="preserve">Під час здійснення цієї закупівлі відповідно до Особливостей застосовуються положення статті 25 Закону з урахуванням положень пункту 47 Особливостей. Вид забезпечення тендерної пропозиції: електронна банківська гарантія. </w:t>
            </w:r>
            <w:r w:rsidR="007F1084" w:rsidRPr="00303E46">
              <w:rPr>
                <w:color w:val="000000"/>
              </w:rPr>
              <w:t>Розмір забезпечення тендерної пропозиції: 3</w:t>
            </w:r>
            <w:r w:rsidRPr="00303E46">
              <w:rPr>
                <w:color w:val="000000"/>
              </w:rPr>
              <w:t>,0</w:t>
            </w:r>
            <w:r w:rsidR="007F1084" w:rsidRPr="00303E46">
              <w:rPr>
                <w:color w:val="000000"/>
              </w:rPr>
              <w:t xml:space="preserve"> відсотка від очікуваної вартості закупівлі</w:t>
            </w:r>
            <w:r w:rsidRPr="00303E46">
              <w:rPr>
                <w:color w:val="000000"/>
              </w:rPr>
              <w:t xml:space="preserve">, що становить </w:t>
            </w:r>
            <w:r w:rsidR="007725D9" w:rsidRPr="00303E46">
              <w:rPr>
                <w:color w:val="000000"/>
              </w:rPr>
              <w:t>6375,00 грн. (шість тисяч триста сімдесят п’ять гривень 00 копійок).</w:t>
            </w:r>
            <w:r w:rsidR="001C48BA" w:rsidRPr="00303E46">
              <w:rPr>
                <w:color w:val="000000"/>
              </w:rPr>
              <w:t xml:space="preserve"> Сума гарантії залишається незмінною.</w:t>
            </w:r>
            <w:r w:rsidR="007F1084" w:rsidRPr="00303E46">
              <w:rPr>
                <w:color w:val="000000"/>
              </w:rPr>
              <w:t xml:space="preserve"> </w:t>
            </w:r>
            <w:r w:rsidR="001C48BA" w:rsidRPr="00303E46">
              <w:rPr>
                <w:color w:val="000000"/>
              </w:rPr>
              <w:t>Вид забезпечення тендерної пропозиції: банківська гарантія у вигляді електронного документа</w:t>
            </w:r>
            <w:r w:rsidR="000B19C0" w:rsidRPr="00303E46">
              <w:rPr>
                <w:color w:val="000000"/>
              </w:rPr>
              <w:t>, скріпленого КЕП (кваліфікованим електронним підписом) уповноваженої особи банка-гаранта, що підписала га</w:t>
            </w:r>
            <w:r w:rsidR="001D0941" w:rsidRPr="00303E46">
              <w:rPr>
                <w:color w:val="000000"/>
              </w:rPr>
              <w:t xml:space="preserve">рантію. </w:t>
            </w:r>
            <w:r w:rsidR="000B19C0" w:rsidRPr="00303E46">
              <w:rPr>
                <w:color w:val="000000"/>
              </w:rPr>
              <w:t xml:space="preserve"> Строк дії забезпечення </w:t>
            </w:r>
            <w:r w:rsidR="000B19C0" w:rsidRPr="00303E46">
              <w:rPr>
                <w:color w:val="000000"/>
              </w:rPr>
              <w:lastRenderedPageBreak/>
              <w:t xml:space="preserve">тендерної пропозиції: не менше 120 (сто двадцять) календарних днів із дати кінцевого строку подання тендерних пропозицій. Банківська гарантія повинна бути оформлена з повним грошовим покриттям </w:t>
            </w:r>
            <w:r w:rsidR="00082600" w:rsidRPr="00303E46">
              <w:rPr>
                <w:color w:val="000000"/>
              </w:rPr>
              <w:t xml:space="preserve">на весь строк дії такої гарантії. На </w:t>
            </w:r>
            <w:r w:rsidR="00FF4BEC" w:rsidRPr="00303E46">
              <w:rPr>
                <w:color w:val="000000"/>
              </w:rPr>
              <w:t>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w:t>
            </w:r>
            <w:r w:rsidR="00587BB8" w:rsidRPr="00303E46">
              <w:rPr>
                <w:color w:val="000000"/>
              </w:rPr>
              <w:t xml:space="preserve"> згідно з Єдиним державним реєстром підприємств та організацій України або реєстраційний номер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передбачено умовами закупівлі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зарахування грошового покриття, видана банком-гарантом, завірена печаткою банку-гаранта та підписом уповноваженої особи такого банку-гаранта з наданням підтвердження повноважень такої уповноваженої особи від банку-гаранта.</w:t>
            </w:r>
            <w:r w:rsidR="00FF4BEC" w:rsidRPr="00303E46">
              <w:rPr>
                <w:color w:val="000000"/>
              </w:rPr>
              <w:t xml:space="preserve"> </w:t>
            </w:r>
          </w:p>
          <w:p w:rsidR="00563AF7" w:rsidRPr="00303E46" w:rsidRDefault="00563AF7" w:rsidP="00563AF7">
            <w:pPr>
              <w:jc w:val="both"/>
              <w:rPr>
                <w:b/>
                <w:bCs/>
                <w:sz w:val="24"/>
                <w:szCs w:val="24"/>
              </w:rPr>
            </w:pPr>
            <w:r w:rsidRPr="00303E46">
              <w:rPr>
                <w:bCs/>
              </w:rPr>
              <w:t xml:space="preserve">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303E46">
              <w:t>підпунктом 3.2. пункту 3 цього ж розділу</w:t>
            </w:r>
            <w:r w:rsidRPr="00303E46">
              <w:rPr>
                <w:bCs/>
              </w:rPr>
              <w:t>, відшкодувати кошти на</w:t>
            </w:r>
            <w:r w:rsidRPr="00303E46">
              <w:rPr>
                <w:b/>
              </w:rPr>
              <w:t xml:space="preserve"> </w:t>
            </w:r>
            <w:r w:rsidRPr="00303E46">
              <w:rPr>
                <w:bCs/>
              </w:rPr>
              <w:t>рахунок</w:t>
            </w:r>
            <w:r w:rsidRPr="00303E46">
              <w:rPr>
                <w:b/>
              </w:rPr>
              <w:t xml:space="preserve"> Відділу освіти/, культури, молоді та спорту Пантаївської селищної  ради Олександрійського району Кіровоградської області (ЄДРПОУ 43971977)  </w:t>
            </w:r>
            <w:r w:rsidRPr="00303E46">
              <w:rPr>
                <w:bCs/>
              </w:rPr>
              <w:t>кошти</w:t>
            </w:r>
            <w:r w:rsidRPr="00303E46">
              <w:rPr>
                <w:b/>
              </w:rPr>
              <w:t xml:space="preserve"> </w:t>
            </w:r>
            <w:r w:rsidRPr="00303E46">
              <w:rPr>
                <w:bCs/>
              </w:rPr>
              <w:t xml:space="preserve">у сумі забезпечення тендерної пропозиції, визначеній у </w:t>
            </w:r>
            <w:r w:rsidRPr="00303E46">
              <w:t>пункті 2  цього розділу</w:t>
            </w:r>
            <w:r w:rsidRPr="00303E46">
              <w:rPr>
                <w:bCs/>
              </w:rPr>
              <w:t>. Перерахування коштів здійснюється на</w:t>
            </w:r>
            <w:r w:rsidRPr="00303E46">
              <w:rPr>
                <w:b/>
              </w:rPr>
              <w:t xml:space="preserve"> </w:t>
            </w:r>
            <w:r w:rsidRPr="00303E46">
              <w:rPr>
                <w:b/>
                <w:bCs/>
              </w:rPr>
              <w:t xml:space="preserve">р/р </w:t>
            </w:r>
            <w:r w:rsidRPr="00303E46">
              <w:rPr>
                <w:b/>
                <w:bCs/>
                <w:lang w:val="en-US"/>
              </w:rPr>
              <w:t>UA</w:t>
            </w:r>
            <w:r w:rsidR="003B4729" w:rsidRPr="00303E46">
              <w:rPr>
                <w:b/>
                <w:bCs/>
              </w:rPr>
              <w:t xml:space="preserve"> 218201720355139003002106233 Олександрійське управління Державної казначейської служби України Кіровоградської області</w:t>
            </w:r>
            <w:r w:rsidRPr="00303E46">
              <w:rPr>
                <w:b/>
                <w:bCs/>
              </w:rPr>
              <w:t>, МФО 820172</w:t>
            </w:r>
            <w:r w:rsidRPr="00303E46">
              <w:rPr>
                <w:b/>
                <w:bCs/>
                <w:sz w:val="24"/>
                <w:szCs w:val="24"/>
              </w:rPr>
              <w:t>.</w:t>
            </w:r>
          </w:p>
          <w:p w:rsidR="00C540B0" w:rsidRPr="00303E46" w:rsidRDefault="00694DE3" w:rsidP="00B703B0">
            <w:pPr>
              <w:tabs>
                <w:tab w:val="left" w:pos="0"/>
              </w:tabs>
              <w:ind w:right="-1"/>
              <w:jc w:val="both"/>
              <w:rPr>
                <w:color w:val="000000"/>
              </w:rPr>
            </w:pPr>
            <w:r w:rsidRPr="00303E46">
              <w:rPr>
                <w:color w:val="000000"/>
              </w:rPr>
              <w:t>Всі витрати, пов’язані з поданням забезпечення тендерної пропозиції, здійснюються за рахунок учасника.</w:t>
            </w:r>
            <w:r w:rsidR="00FF4BEC" w:rsidRPr="00303E46">
              <w:rPr>
                <w:color w:val="000000"/>
              </w:rPr>
              <w:t xml:space="preserve"> </w:t>
            </w:r>
            <w:r w:rsidR="00F814E4" w:rsidRPr="00303E46">
              <w:t xml:space="preserve">Пропозиції, що не супроводжуються документальним підтвердженням надання забезпечення тендерної пропозиції чи документів, що подаються разом із нею як невід’ємна частина, відхиляються </w:t>
            </w:r>
            <w:r w:rsidR="00F814E4" w:rsidRPr="00303E46">
              <w:lastRenderedPageBreak/>
              <w:t xml:space="preserve">Замовником відповідно до підстав визначених </w:t>
            </w:r>
            <w:r w:rsidR="00F814E4" w:rsidRPr="00303E46">
              <w:rPr>
                <w:b/>
              </w:rPr>
              <w:t>Постановою КМУ №1178 від 12.10.2022р.</w:t>
            </w:r>
            <w:r w:rsidR="00FF4BEC" w:rsidRPr="00303E46">
              <w:rPr>
                <w:color w:val="000000"/>
              </w:rPr>
              <w:t xml:space="preserve"> </w:t>
            </w:r>
          </w:p>
        </w:tc>
      </w:tr>
      <w:tr w:rsidR="007122FC" w:rsidRPr="00455F7C" w:rsidTr="00A56C28">
        <w:trPr>
          <w:trHeight w:val="2396"/>
        </w:trPr>
        <w:tc>
          <w:tcPr>
            <w:tcW w:w="2704" w:type="dxa"/>
          </w:tcPr>
          <w:p w:rsidR="00634EA4" w:rsidRPr="00455F7C" w:rsidRDefault="00200721" w:rsidP="00C44233">
            <w:pPr>
              <w:tabs>
                <w:tab w:val="left" w:pos="426"/>
              </w:tabs>
              <w:ind w:right="119"/>
              <w:rPr>
                <w:b/>
                <w:color w:val="000000"/>
                <w:sz w:val="24"/>
                <w:szCs w:val="24"/>
              </w:rPr>
            </w:pPr>
            <w:r w:rsidRPr="00200721">
              <w:rPr>
                <w:b/>
              </w:rPr>
              <w:lastRenderedPageBreak/>
              <w:t>Розділ ІІІ «Інструкція з підготовки тендерних пропозицій</w:t>
            </w:r>
            <w:r w:rsidRPr="00EA437B">
              <w:rPr>
                <w:b/>
              </w:rPr>
              <w:t>»</w:t>
            </w:r>
            <w:r w:rsidRPr="00EA437B">
              <w:t xml:space="preserve"> </w:t>
            </w:r>
            <w:r w:rsidR="00EA437B" w:rsidRPr="008F723C">
              <w:rPr>
                <w:u w:val="single"/>
              </w:rPr>
              <w:t>Умови повернення  чи неповернення забезпечення тендерної пропозиції</w:t>
            </w:r>
          </w:p>
        </w:tc>
        <w:tc>
          <w:tcPr>
            <w:tcW w:w="2507" w:type="dxa"/>
          </w:tcPr>
          <w:p w:rsidR="005C641F" w:rsidRPr="00455F7C" w:rsidRDefault="00C44233" w:rsidP="00332E88">
            <w:pPr>
              <w:tabs>
                <w:tab w:val="left" w:pos="851"/>
                <w:tab w:val="left" w:pos="1276"/>
                <w:tab w:val="left" w:pos="5529"/>
              </w:tabs>
              <w:jc w:val="both"/>
              <w:rPr>
                <w:sz w:val="24"/>
                <w:szCs w:val="24"/>
              </w:rPr>
            </w:pPr>
            <w:r w:rsidRPr="00947C57">
              <w:t>Не застосовується у зв’язку з тим, що забезпечення тендерної пропозиції не вимагається.</w:t>
            </w:r>
          </w:p>
        </w:tc>
        <w:tc>
          <w:tcPr>
            <w:tcW w:w="4395" w:type="dxa"/>
          </w:tcPr>
          <w:p w:rsidR="00362DFA" w:rsidRPr="00303E46" w:rsidRDefault="00563AF7" w:rsidP="00990FAC">
            <w:pPr>
              <w:spacing w:line="0" w:lineRule="atLeast"/>
              <w:ind w:right="-108"/>
              <w:jc w:val="both"/>
            </w:pPr>
            <w:r w:rsidRPr="00303E46">
              <w:t xml:space="preserve">3.1. </w:t>
            </w:r>
            <w:r w:rsidR="00362DFA" w:rsidRPr="00303E46">
              <w:t xml:space="preserve">Забезпечення тендерної пропозиції </w:t>
            </w:r>
            <w:r w:rsidR="00362DFA" w:rsidRPr="00303E46">
              <w:rPr>
                <w:b/>
                <w:i/>
              </w:rPr>
              <w:t xml:space="preserve">повертається </w:t>
            </w:r>
            <w:r w:rsidR="00362DFA" w:rsidRPr="00303E46">
              <w:t>учаснику у разі:</w:t>
            </w:r>
          </w:p>
          <w:p w:rsidR="00362DFA" w:rsidRPr="00303E46" w:rsidRDefault="00362DFA" w:rsidP="00990FAC">
            <w:pPr>
              <w:numPr>
                <w:ilvl w:val="0"/>
                <w:numId w:val="5"/>
              </w:numPr>
              <w:shd w:val="clear" w:color="auto" w:fill="FFFFFF"/>
              <w:tabs>
                <w:tab w:val="left" w:pos="3069"/>
              </w:tabs>
              <w:spacing w:after="160" w:line="0" w:lineRule="atLeast"/>
              <w:ind w:left="0" w:right="-108" w:firstLine="0"/>
              <w:jc w:val="both"/>
            </w:pPr>
            <w:r w:rsidRPr="00303E46">
              <w:t>закінчення строку дії тендерної пропозиції та забезпечення тендерної пропозиції, зазначеного в тендерній документації;</w:t>
            </w:r>
          </w:p>
          <w:p w:rsidR="00362DFA" w:rsidRPr="00303E46" w:rsidRDefault="00362DFA" w:rsidP="00990FAC">
            <w:pPr>
              <w:numPr>
                <w:ilvl w:val="0"/>
                <w:numId w:val="5"/>
              </w:numPr>
              <w:shd w:val="clear" w:color="auto" w:fill="FFFFFF"/>
              <w:tabs>
                <w:tab w:val="left" w:pos="3069"/>
              </w:tabs>
              <w:spacing w:after="160" w:line="0" w:lineRule="atLeast"/>
              <w:ind w:left="0" w:right="-108" w:firstLine="0"/>
              <w:jc w:val="both"/>
            </w:pPr>
            <w:r w:rsidRPr="00303E46">
              <w:t>укладення договору про закупівлю з учасником, який став переможцем процедури закупівлі;</w:t>
            </w:r>
          </w:p>
          <w:p w:rsidR="00362DFA" w:rsidRPr="00303E46" w:rsidRDefault="00362DFA" w:rsidP="00990FAC">
            <w:pPr>
              <w:numPr>
                <w:ilvl w:val="0"/>
                <w:numId w:val="5"/>
              </w:numPr>
              <w:shd w:val="clear" w:color="auto" w:fill="FFFFFF"/>
              <w:tabs>
                <w:tab w:val="left" w:pos="3069"/>
              </w:tabs>
              <w:spacing w:after="160" w:line="0" w:lineRule="atLeast"/>
              <w:ind w:left="0" w:right="-108" w:firstLine="0"/>
              <w:jc w:val="both"/>
            </w:pPr>
            <w:r w:rsidRPr="00303E46">
              <w:t>відкликання тендерної пропозиції до закінчення строку її подання;</w:t>
            </w:r>
          </w:p>
          <w:p w:rsidR="00362DFA" w:rsidRPr="00303E46" w:rsidRDefault="00362DFA" w:rsidP="00990FAC">
            <w:pPr>
              <w:numPr>
                <w:ilvl w:val="0"/>
                <w:numId w:val="5"/>
              </w:numPr>
              <w:shd w:val="clear" w:color="auto" w:fill="FFFFFF"/>
              <w:tabs>
                <w:tab w:val="left" w:pos="3069"/>
              </w:tabs>
              <w:spacing w:after="160" w:line="0" w:lineRule="atLeast"/>
              <w:ind w:left="0" w:right="-108" w:firstLine="0"/>
              <w:jc w:val="both"/>
            </w:pPr>
            <w:r w:rsidRPr="00303E46">
              <w:t xml:space="preserve">закінчення тендеру в разі </w:t>
            </w:r>
            <w:proofErr w:type="spellStart"/>
            <w:r w:rsidRPr="00303E46">
              <w:t>неукладення</w:t>
            </w:r>
            <w:proofErr w:type="spellEnd"/>
            <w:r w:rsidRPr="00303E46">
              <w:t xml:space="preserve"> договору про закупівлю з жодним з учасників, які подали тендерні пропозиції.</w:t>
            </w:r>
          </w:p>
          <w:p w:rsidR="00362DFA" w:rsidRPr="00303E46" w:rsidRDefault="00362DFA" w:rsidP="00990FAC">
            <w:pPr>
              <w:shd w:val="clear" w:color="auto" w:fill="FFFFFF"/>
              <w:tabs>
                <w:tab w:val="left" w:pos="3069"/>
              </w:tabs>
              <w:spacing w:line="0" w:lineRule="atLeast"/>
              <w:ind w:right="-108"/>
              <w:jc w:val="both"/>
            </w:pPr>
            <w:r w:rsidRPr="00303E46">
              <w:t>3.</w:t>
            </w:r>
            <w:r w:rsidR="00563AF7" w:rsidRPr="00303E46">
              <w:t>2</w:t>
            </w:r>
            <w:r w:rsidRPr="00303E46">
              <w:t xml:space="preserve">. Забезпечення тендерної пропозиції </w:t>
            </w:r>
            <w:r w:rsidRPr="00303E46">
              <w:rPr>
                <w:b/>
                <w:i/>
              </w:rPr>
              <w:t>не повертається</w:t>
            </w:r>
            <w:r w:rsidRPr="00303E46">
              <w:t xml:space="preserve"> у разі:</w:t>
            </w:r>
          </w:p>
          <w:p w:rsidR="00362DFA" w:rsidRPr="00303E46" w:rsidRDefault="00362DFA" w:rsidP="00990FAC">
            <w:pPr>
              <w:numPr>
                <w:ilvl w:val="0"/>
                <w:numId w:val="6"/>
              </w:numPr>
              <w:shd w:val="clear" w:color="auto" w:fill="FFFFFF"/>
              <w:tabs>
                <w:tab w:val="left" w:pos="3069"/>
              </w:tabs>
              <w:spacing w:after="160" w:line="0" w:lineRule="atLeast"/>
              <w:ind w:left="0" w:right="-108" w:firstLine="0"/>
              <w:jc w:val="both"/>
            </w:pPr>
            <w:r w:rsidRPr="00303E46">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2DFA" w:rsidRPr="00303E46" w:rsidRDefault="00362DFA" w:rsidP="00990FAC">
            <w:pPr>
              <w:numPr>
                <w:ilvl w:val="0"/>
                <w:numId w:val="6"/>
              </w:numPr>
              <w:shd w:val="clear" w:color="auto" w:fill="FFFFFF"/>
              <w:tabs>
                <w:tab w:val="left" w:pos="3069"/>
              </w:tabs>
              <w:spacing w:after="160" w:line="0" w:lineRule="atLeast"/>
              <w:ind w:left="0" w:right="-108" w:firstLine="0"/>
              <w:jc w:val="both"/>
            </w:pPr>
            <w:proofErr w:type="spellStart"/>
            <w:r w:rsidRPr="00303E46">
              <w:t>непідписання</w:t>
            </w:r>
            <w:proofErr w:type="spellEnd"/>
            <w:r w:rsidRPr="00303E46">
              <w:t xml:space="preserve"> договору про закупівлю учасником, який став переможцем тендеру;</w:t>
            </w:r>
          </w:p>
          <w:p w:rsidR="00362DFA" w:rsidRPr="00303E46" w:rsidRDefault="00362DFA" w:rsidP="00990FAC">
            <w:pPr>
              <w:numPr>
                <w:ilvl w:val="0"/>
                <w:numId w:val="6"/>
              </w:numPr>
              <w:shd w:val="clear" w:color="auto" w:fill="FFFFFF"/>
              <w:tabs>
                <w:tab w:val="left" w:pos="3069"/>
              </w:tabs>
              <w:spacing w:after="160" w:line="0" w:lineRule="atLeast"/>
              <w:ind w:left="0" w:right="-108" w:firstLine="0"/>
              <w:jc w:val="both"/>
            </w:pPr>
            <w:r w:rsidRPr="00303E46">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362DFA" w:rsidRPr="00303E46" w:rsidRDefault="00362DFA" w:rsidP="00990FAC">
            <w:pPr>
              <w:numPr>
                <w:ilvl w:val="0"/>
                <w:numId w:val="6"/>
              </w:numPr>
              <w:shd w:val="clear" w:color="auto" w:fill="FFFFFF"/>
              <w:tabs>
                <w:tab w:val="left" w:pos="3069"/>
              </w:tabs>
              <w:spacing w:after="160" w:line="0" w:lineRule="atLeast"/>
              <w:ind w:left="0" w:right="-108" w:firstLine="0"/>
              <w:jc w:val="both"/>
            </w:pPr>
            <w:r w:rsidRPr="00303E46">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122FC" w:rsidRPr="00303E46" w:rsidRDefault="00362DFA" w:rsidP="00990FAC">
            <w:pPr>
              <w:widowControl w:val="0"/>
              <w:tabs>
                <w:tab w:val="left" w:pos="1276"/>
                <w:tab w:val="left" w:pos="6637"/>
              </w:tabs>
              <w:spacing w:line="0" w:lineRule="atLeast"/>
              <w:ind w:right="-108"/>
              <w:jc w:val="both"/>
              <w:rPr>
                <w:b/>
                <w:color w:val="000000"/>
                <w:sz w:val="24"/>
                <w:szCs w:val="24"/>
              </w:rPr>
            </w:pPr>
            <w:r w:rsidRPr="00303E46">
              <w:t xml:space="preserve">За зверненням учасника, яким було надано забезпечення тендерної пропозиції, </w:t>
            </w:r>
            <w:r w:rsidRPr="00303E46">
              <w:rPr>
                <w:b/>
                <w:i/>
              </w:rPr>
              <w:t>замовник повідомляє установу</w:t>
            </w:r>
            <w:r w:rsidRPr="00303E46">
              <w:t xml:space="preserve">, що видала такому учаснику гарантію, про настання підстави для повернення забезпечення тендерної пропозиції </w:t>
            </w:r>
            <w:r w:rsidRPr="00303E46">
              <w:rPr>
                <w:b/>
                <w:i/>
              </w:rPr>
              <w:t>протягом п’яти днів</w:t>
            </w:r>
            <w:r w:rsidRPr="00303E46">
              <w:t xml:space="preserve"> з дня настання однієї з підстав повернення забезпечення тендерної пропозиції.</w:t>
            </w:r>
          </w:p>
        </w:tc>
      </w:tr>
      <w:tr w:rsidR="002937EC" w:rsidRPr="00455F7C" w:rsidTr="00A56C28">
        <w:tc>
          <w:tcPr>
            <w:tcW w:w="2704" w:type="dxa"/>
          </w:tcPr>
          <w:p w:rsidR="002937EC" w:rsidRPr="00947C57" w:rsidRDefault="002937EC" w:rsidP="00B12EB5">
            <w:pPr>
              <w:tabs>
                <w:tab w:val="left" w:pos="-111"/>
              </w:tabs>
              <w:jc w:val="both"/>
              <w:rPr>
                <w:b/>
              </w:rPr>
            </w:pPr>
            <w:r w:rsidRPr="00200721">
              <w:rPr>
                <w:b/>
              </w:rPr>
              <w:t>Розділ ІІІ «Інструкція з підготовки тендерних пропозицій</w:t>
            </w:r>
            <w:r w:rsidRPr="002937EC">
              <w:rPr>
                <w:b/>
              </w:rPr>
              <w:t>»</w:t>
            </w:r>
            <w:r w:rsidRPr="002937EC">
              <w:t xml:space="preserve"> </w:t>
            </w:r>
            <w:r w:rsidR="00A56C28">
              <w:t xml:space="preserve">абз.1 п.4 </w:t>
            </w:r>
            <w:r w:rsidRPr="002937EC">
              <w:rPr>
                <w:u w:val="single"/>
              </w:rPr>
              <w:t xml:space="preserve">Строк дії тендерної пропозиції, протягом </w:t>
            </w:r>
            <w:r w:rsidRPr="002937EC">
              <w:rPr>
                <w:u w:val="single"/>
              </w:rPr>
              <w:lastRenderedPageBreak/>
              <w:t>якого тендерні пропозиції вважаються дійсними</w:t>
            </w:r>
          </w:p>
        </w:tc>
        <w:tc>
          <w:tcPr>
            <w:tcW w:w="2507" w:type="dxa"/>
          </w:tcPr>
          <w:p w:rsidR="002937EC" w:rsidRPr="00947C57" w:rsidRDefault="008E3C24" w:rsidP="00757B8E">
            <w:pPr>
              <w:widowControl w:val="0"/>
              <w:ind w:right="113"/>
              <w:jc w:val="both"/>
              <w:rPr>
                <w:lang w:eastAsia="uk-UA"/>
              </w:rPr>
            </w:pPr>
            <w:r w:rsidRPr="008E3C24">
              <w:rPr>
                <w:lang w:eastAsia="uk-UA"/>
              </w:rPr>
              <w:lastRenderedPageBreak/>
              <w:t xml:space="preserve">Тендерні пропозиції вважаються дійсними протягом 90 (дев’яносто) календарних днів із </w:t>
            </w:r>
            <w:r w:rsidRPr="008E3C24">
              <w:rPr>
                <w:lang w:eastAsia="uk-UA"/>
              </w:rPr>
              <w:lastRenderedPageBreak/>
              <w:t xml:space="preserve">дати кінцевого строку подання тендерних пропозицій. </w:t>
            </w:r>
          </w:p>
        </w:tc>
        <w:tc>
          <w:tcPr>
            <w:tcW w:w="4395" w:type="dxa"/>
          </w:tcPr>
          <w:p w:rsidR="008E3C24" w:rsidRPr="00A56C28" w:rsidRDefault="008E3C24" w:rsidP="008E3C24">
            <w:pPr>
              <w:widowControl w:val="0"/>
              <w:ind w:right="113"/>
              <w:jc w:val="both"/>
              <w:rPr>
                <w:lang w:eastAsia="uk-UA"/>
              </w:rPr>
            </w:pPr>
            <w:r w:rsidRPr="00A56C28">
              <w:rPr>
                <w:lang w:eastAsia="uk-UA"/>
              </w:rPr>
              <w:lastRenderedPageBreak/>
              <w:t xml:space="preserve">Тендерні пропозиції вважаються дійсними протягом 120 (сто двадцять) календарних днів із дати кінцевого строку подання тендерних пропозицій. </w:t>
            </w:r>
          </w:p>
          <w:p w:rsidR="002937EC" w:rsidRPr="00947C57" w:rsidRDefault="002937EC" w:rsidP="000A20D9">
            <w:pPr>
              <w:shd w:val="clear" w:color="auto" w:fill="FFFFFF"/>
              <w:tabs>
                <w:tab w:val="left" w:pos="8244"/>
                <w:tab w:val="left" w:pos="9160"/>
                <w:tab w:val="left" w:pos="10076"/>
                <w:tab w:val="left" w:pos="10992"/>
                <w:tab w:val="left" w:pos="11908"/>
                <w:tab w:val="left" w:pos="12824"/>
                <w:tab w:val="left" w:pos="13740"/>
                <w:tab w:val="left" w:pos="14656"/>
              </w:tabs>
              <w:jc w:val="both"/>
              <w:rPr>
                <w:lang w:eastAsia="en-US"/>
              </w:rPr>
            </w:pPr>
          </w:p>
        </w:tc>
      </w:tr>
      <w:tr w:rsidR="000A20D9" w:rsidRPr="00455F7C" w:rsidTr="00A56C28">
        <w:tc>
          <w:tcPr>
            <w:tcW w:w="2704" w:type="dxa"/>
          </w:tcPr>
          <w:p w:rsidR="00E909E9" w:rsidRPr="00757B8E" w:rsidRDefault="000A20D9" w:rsidP="00B12EB5">
            <w:pPr>
              <w:tabs>
                <w:tab w:val="left" w:pos="-111"/>
              </w:tabs>
              <w:jc w:val="both"/>
              <w:rPr>
                <w:bCs/>
              </w:rPr>
            </w:pPr>
            <w:r w:rsidRPr="00947C57">
              <w:rPr>
                <w:b/>
                <w:sz w:val="24"/>
                <w:szCs w:val="24"/>
              </w:rPr>
              <w:lastRenderedPageBreak/>
              <w:t>Розділ IV. Подання та розкриття тендерних пропозицій</w:t>
            </w:r>
            <w:r w:rsidRPr="000A20D9">
              <w:rPr>
                <w:b/>
                <w:bCs/>
              </w:rPr>
              <w:t xml:space="preserve"> </w:t>
            </w:r>
            <w:r w:rsidR="00A8136C">
              <w:rPr>
                <w:b/>
                <w:bCs/>
              </w:rPr>
              <w:t xml:space="preserve">абз.1 П.1 </w:t>
            </w:r>
            <w:r>
              <w:rPr>
                <w:b/>
                <w:bCs/>
              </w:rPr>
              <w:t>«</w:t>
            </w:r>
            <w:r w:rsidRPr="000A20D9">
              <w:rPr>
                <w:bCs/>
              </w:rPr>
              <w:t>Кінцевий строк подання тендерних пропозицій</w:t>
            </w:r>
            <w:r>
              <w:rPr>
                <w:bCs/>
              </w:rPr>
              <w:t>»</w:t>
            </w:r>
          </w:p>
        </w:tc>
        <w:tc>
          <w:tcPr>
            <w:tcW w:w="2507" w:type="dxa"/>
          </w:tcPr>
          <w:p w:rsidR="00F75501" w:rsidRPr="00947C57" w:rsidRDefault="00F75501" w:rsidP="00F75501">
            <w:pPr>
              <w:shd w:val="clear" w:color="auto" w:fill="FFFFFF"/>
              <w:tabs>
                <w:tab w:val="left" w:pos="8244"/>
                <w:tab w:val="left" w:pos="9160"/>
                <w:tab w:val="left" w:pos="10076"/>
                <w:tab w:val="left" w:pos="10992"/>
                <w:tab w:val="left" w:pos="11908"/>
                <w:tab w:val="left" w:pos="12824"/>
                <w:tab w:val="left" w:pos="13740"/>
                <w:tab w:val="left" w:pos="14656"/>
              </w:tabs>
              <w:jc w:val="both"/>
              <w:rPr>
                <w:b/>
                <w:lang w:eastAsia="en-US"/>
              </w:rPr>
            </w:pPr>
            <w:r w:rsidRPr="00947C57">
              <w:rPr>
                <w:lang w:eastAsia="en-US"/>
              </w:rPr>
              <w:t xml:space="preserve">Кінцевий строк подання тендерних пропозицій </w:t>
            </w:r>
            <w:r w:rsidRPr="00655A64">
              <w:rPr>
                <w:lang w:eastAsia="en-US"/>
              </w:rPr>
              <w:t xml:space="preserve">до  </w:t>
            </w:r>
            <w:r w:rsidR="0074456D">
              <w:rPr>
                <w:b/>
                <w:lang w:eastAsia="en-US"/>
              </w:rPr>
              <w:t>17.10</w:t>
            </w:r>
            <w:r w:rsidR="007C2AB3">
              <w:rPr>
                <w:b/>
                <w:lang w:eastAsia="en-US"/>
              </w:rPr>
              <w:t>.2023 до 16</w:t>
            </w:r>
            <w:r w:rsidRPr="00CF7EFC">
              <w:rPr>
                <w:b/>
                <w:lang w:eastAsia="en-US"/>
              </w:rPr>
              <w:t>.00 год.</w:t>
            </w:r>
          </w:p>
          <w:p w:rsidR="000A20D9" w:rsidRDefault="000A20D9" w:rsidP="0041670F">
            <w:pPr>
              <w:jc w:val="both"/>
              <w:rPr>
                <w:color w:val="000000"/>
              </w:rPr>
            </w:pPr>
          </w:p>
        </w:tc>
        <w:tc>
          <w:tcPr>
            <w:tcW w:w="4395" w:type="dxa"/>
          </w:tcPr>
          <w:p w:rsidR="000A20D9" w:rsidRPr="00947C57" w:rsidRDefault="000A20D9" w:rsidP="000A20D9">
            <w:pPr>
              <w:shd w:val="clear" w:color="auto" w:fill="FFFFFF"/>
              <w:tabs>
                <w:tab w:val="left" w:pos="8244"/>
                <w:tab w:val="left" w:pos="9160"/>
                <w:tab w:val="left" w:pos="10076"/>
                <w:tab w:val="left" w:pos="10992"/>
                <w:tab w:val="left" w:pos="11908"/>
                <w:tab w:val="left" w:pos="12824"/>
                <w:tab w:val="left" w:pos="13740"/>
                <w:tab w:val="left" w:pos="14656"/>
              </w:tabs>
              <w:jc w:val="both"/>
              <w:rPr>
                <w:b/>
                <w:lang w:eastAsia="en-US"/>
              </w:rPr>
            </w:pPr>
            <w:r w:rsidRPr="00947C57">
              <w:rPr>
                <w:lang w:eastAsia="en-US"/>
              </w:rPr>
              <w:t xml:space="preserve">Кінцевий строк подання тендерних пропозицій </w:t>
            </w:r>
            <w:r w:rsidRPr="00655A64">
              <w:rPr>
                <w:lang w:eastAsia="en-US"/>
              </w:rPr>
              <w:t xml:space="preserve">до  </w:t>
            </w:r>
            <w:r w:rsidR="0074456D">
              <w:rPr>
                <w:b/>
                <w:lang w:eastAsia="en-US"/>
              </w:rPr>
              <w:t>23.10.2023 до 12</w:t>
            </w:r>
            <w:r w:rsidRPr="00954D1D">
              <w:rPr>
                <w:b/>
                <w:lang w:eastAsia="en-US"/>
              </w:rPr>
              <w:t>.00 год.</w:t>
            </w:r>
          </w:p>
          <w:p w:rsidR="000A20D9" w:rsidRDefault="000A20D9" w:rsidP="0041670F">
            <w:pPr>
              <w:jc w:val="both"/>
              <w:rPr>
                <w:color w:val="000000"/>
              </w:rPr>
            </w:pPr>
          </w:p>
        </w:tc>
      </w:tr>
    </w:tbl>
    <w:p w:rsidR="00682B65" w:rsidRDefault="00682B65" w:rsidP="00331202">
      <w:pPr>
        <w:tabs>
          <w:tab w:val="left" w:pos="426"/>
        </w:tabs>
        <w:ind w:right="-1" w:firstLine="426"/>
        <w:jc w:val="both"/>
        <w:rPr>
          <w:color w:val="000000"/>
        </w:rPr>
      </w:pPr>
    </w:p>
    <w:p w:rsidR="009C60DF" w:rsidRPr="00455F7C" w:rsidRDefault="00AB3B6C" w:rsidP="00331202">
      <w:pPr>
        <w:tabs>
          <w:tab w:val="left" w:pos="426"/>
        </w:tabs>
        <w:ind w:right="-1" w:firstLine="426"/>
        <w:jc w:val="both"/>
        <w:rPr>
          <w:color w:val="000000"/>
        </w:rPr>
      </w:pPr>
      <w:r w:rsidRPr="00455F7C">
        <w:rPr>
          <w:color w:val="000000"/>
        </w:rPr>
        <w:t>Відповідн</w:t>
      </w:r>
      <w:r w:rsidR="00331202" w:rsidRPr="00455F7C">
        <w:rPr>
          <w:color w:val="000000"/>
        </w:rPr>
        <w:t>о до абзацу 3 пункту 54 Особливостей уточнено, що у разі внесення змін до тендерної документації</w:t>
      </w:r>
      <w:r w:rsidRPr="00455F7C">
        <w:rPr>
          <w:color w:val="000000"/>
        </w:rPr>
        <w:t>, з моменту внесенн</w:t>
      </w:r>
      <w:r w:rsidR="00331202" w:rsidRPr="00455F7C">
        <w:rPr>
          <w:color w:val="000000"/>
        </w:rPr>
        <w:t>я змін</w:t>
      </w:r>
      <w:r w:rsidRPr="00455F7C">
        <w:rPr>
          <w:color w:val="000000"/>
        </w:rPr>
        <w:t xml:space="preserve"> до закінчення строку подання пропозицій повинно </w:t>
      </w:r>
      <w:proofErr w:type="spellStart"/>
      <w:r w:rsidR="00331202" w:rsidRPr="00455F7C">
        <w:rPr>
          <w:color w:val="000000"/>
        </w:rPr>
        <w:t>повинно</w:t>
      </w:r>
      <w:proofErr w:type="spellEnd"/>
      <w:r w:rsidR="00331202" w:rsidRPr="00455F7C">
        <w:rPr>
          <w:color w:val="000000"/>
        </w:rPr>
        <w:t xml:space="preserve"> залишитись не менше чотирьох днів.</w:t>
      </w:r>
    </w:p>
    <w:p w:rsidR="00C11B8C" w:rsidRPr="006D3564" w:rsidRDefault="003D2A04" w:rsidP="00331202">
      <w:pPr>
        <w:tabs>
          <w:tab w:val="left" w:pos="426"/>
        </w:tabs>
        <w:ind w:right="-1" w:firstLine="426"/>
        <w:jc w:val="both"/>
        <w:rPr>
          <w:b/>
          <w:color w:val="000000"/>
        </w:rPr>
      </w:pPr>
      <w:r w:rsidRPr="00455F7C">
        <w:rPr>
          <w:color w:val="000000"/>
        </w:rPr>
        <w:t>Подання пропозицій</w:t>
      </w:r>
      <w:r w:rsidR="0052049B" w:rsidRPr="00455F7C">
        <w:rPr>
          <w:color w:val="000000"/>
        </w:rPr>
        <w:t xml:space="preserve"> за </w:t>
      </w:r>
      <w:r w:rsidR="0052049B" w:rsidRPr="00455F7C">
        <w:rPr>
          <w:bCs/>
          <w:color w:val="000000"/>
        </w:rPr>
        <w:t>закупівлею</w:t>
      </w:r>
      <w:r w:rsidR="0052049B" w:rsidRPr="00455F7C">
        <w:rPr>
          <w:b/>
          <w:bCs/>
          <w:color w:val="000000"/>
        </w:rPr>
        <w:t xml:space="preserve"> </w:t>
      </w:r>
      <w:r w:rsidR="0052049B" w:rsidRPr="00455F7C">
        <w:rPr>
          <w:b/>
          <w:color w:val="000000"/>
        </w:rPr>
        <w:t>№ UA-2023-09-04-009891-а</w:t>
      </w:r>
      <w:r w:rsidR="00C11B8C">
        <w:rPr>
          <w:b/>
          <w:color w:val="000000"/>
        </w:rPr>
        <w:t xml:space="preserve"> зазначено строк</w:t>
      </w:r>
      <w:r w:rsidR="007C2AB3">
        <w:rPr>
          <w:b/>
          <w:color w:val="000000"/>
        </w:rPr>
        <w:t>: 17.10.2023 до 16</w:t>
      </w:r>
      <w:r w:rsidR="0052049B" w:rsidRPr="00455F7C">
        <w:rPr>
          <w:b/>
          <w:color w:val="000000"/>
        </w:rPr>
        <w:t>.00 години</w:t>
      </w:r>
      <w:r w:rsidR="005F60F8" w:rsidRPr="00455F7C">
        <w:rPr>
          <w:b/>
          <w:color w:val="000000"/>
        </w:rPr>
        <w:t xml:space="preserve"> (</w:t>
      </w:r>
      <w:r w:rsidR="000A1EFE" w:rsidRPr="00455F7C">
        <w:rPr>
          <w:b/>
          <w:color w:val="000000"/>
        </w:rPr>
        <w:t xml:space="preserve">в т.ч. П.1 </w:t>
      </w:r>
      <w:r w:rsidR="005F60F8" w:rsidRPr="00455F7C">
        <w:rPr>
          <w:b/>
          <w:color w:val="000000"/>
        </w:rPr>
        <w:t>Розділ</w:t>
      </w:r>
      <w:r w:rsidR="000A1EFE" w:rsidRPr="00455F7C">
        <w:rPr>
          <w:b/>
          <w:color w:val="000000"/>
        </w:rPr>
        <w:t>у</w:t>
      </w:r>
      <w:r w:rsidR="005F60F8" w:rsidRPr="00455F7C">
        <w:rPr>
          <w:b/>
          <w:color w:val="000000"/>
        </w:rPr>
        <w:t xml:space="preserve"> IV тендерної документації</w:t>
      </w:r>
      <w:r w:rsidR="000A1EFE" w:rsidRPr="00455F7C">
        <w:rPr>
          <w:b/>
          <w:color w:val="000000"/>
        </w:rPr>
        <w:t xml:space="preserve"> «Подання та розкриття тендерних пропозицій»)</w:t>
      </w:r>
      <w:r w:rsidR="0052049B" w:rsidRPr="00455F7C">
        <w:rPr>
          <w:b/>
          <w:color w:val="000000"/>
        </w:rPr>
        <w:t xml:space="preserve">. </w:t>
      </w:r>
      <w:r w:rsidR="0052049B" w:rsidRPr="00455F7C">
        <w:rPr>
          <w:color w:val="000000"/>
        </w:rPr>
        <w:t xml:space="preserve">Таким чином, </w:t>
      </w:r>
      <w:r w:rsidR="000F27BD">
        <w:rPr>
          <w:color w:val="000000"/>
        </w:rPr>
        <w:t xml:space="preserve">наявні </w:t>
      </w:r>
      <w:r w:rsidR="0052049B" w:rsidRPr="00455F7C">
        <w:rPr>
          <w:color w:val="000000"/>
        </w:rPr>
        <w:t>підстави</w:t>
      </w:r>
      <w:r w:rsidR="000F27BD">
        <w:rPr>
          <w:color w:val="000000"/>
        </w:rPr>
        <w:t xml:space="preserve"> продовження терміну подання пропозицій </w:t>
      </w:r>
      <w:r w:rsidR="000F27BD" w:rsidRPr="00124C0B">
        <w:rPr>
          <w:b/>
          <w:color w:val="000000"/>
        </w:rPr>
        <w:t xml:space="preserve">до </w:t>
      </w:r>
      <w:r w:rsidR="007C2AB3">
        <w:rPr>
          <w:b/>
          <w:color w:val="000000"/>
        </w:rPr>
        <w:t>23</w:t>
      </w:r>
      <w:r w:rsidR="007D4C30" w:rsidRPr="00124C0B">
        <w:rPr>
          <w:b/>
          <w:color w:val="000000"/>
        </w:rPr>
        <w:t>.</w:t>
      </w:r>
      <w:r w:rsidR="007F6443">
        <w:rPr>
          <w:b/>
          <w:color w:val="000000"/>
        </w:rPr>
        <w:t>10.</w:t>
      </w:r>
      <w:r w:rsidR="007C2AB3">
        <w:rPr>
          <w:b/>
          <w:color w:val="000000"/>
        </w:rPr>
        <w:t>2023 року до 12</w:t>
      </w:r>
      <w:r w:rsidR="007D4C30" w:rsidRPr="00124C0B">
        <w:rPr>
          <w:b/>
          <w:color w:val="000000"/>
        </w:rPr>
        <w:t>.00 години.</w:t>
      </w:r>
      <w:r w:rsidR="0052049B" w:rsidRPr="006D3564">
        <w:rPr>
          <w:b/>
          <w:color w:val="000000"/>
        </w:rPr>
        <w:t xml:space="preserve"> </w:t>
      </w:r>
    </w:p>
    <w:p w:rsidR="003D2A04" w:rsidRPr="00455F7C" w:rsidRDefault="003D2A04" w:rsidP="00331202">
      <w:pPr>
        <w:tabs>
          <w:tab w:val="left" w:pos="426"/>
        </w:tabs>
        <w:ind w:right="-1" w:firstLine="426"/>
        <w:jc w:val="both"/>
        <w:rPr>
          <w:color w:val="000000"/>
        </w:rPr>
      </w:pPr>
      <w:r w:rsidRPr="00455F7C">
        <w:rPr>
          <w:color w:val="000000"/>
        </w:rPr>
        <w:t>Р</w:t>
      </w:r>
      <w:r w:rsidR="0052049B" w:rsidRPr="00455F7C">
        <w:rPr>
          <w:color w:val="000000"/>
        </w:rPr>
        <w:t>ешта вимог залишається без змін.</w:t>
      </w:r>
    </w:p>
    <w:p w:rsidR="00B66E69" w:rsidRPr="00455F7C" w:rsidRDefault="00B66E69" w:rsidP="00331202">
      <w:pPr>
        <w:tabs>
          <w:tab w:val="left" w:pos="426"/>
        </w:tabs>
        <w:ind w:right="-1" w:firstLine="426"/>
        <w:jc w:val="both"/>
        <w:rPr>
          <w:color w:val="000000"/>
        </w:rPr>
      </w:pPr>
    </w:p>
    <w:p w:rsidR="009C60DF" w:rsidRPr="009C60DF" w:rsidRDefault="009C60DF" w:rsidP="00EE45A8">
      <w:pPr>
        <w:ind w:left="-567" w:right="-1"/>
        <w:jc w:val="center"/>
        <w:rPr>
          <w:b/>
          <w:color w:val="000000"/>
        </w:rPr>
      </w:pPr>
    </w:p>
    <w:p w:rsidR="00C167E2" w:rsidRPr="004A0E30" w:rsidRDefault="004A0E30" w:rsidP="00EE45A8">
      <w:pPr>
        <w:tabs>
          <w:tab w:val="left" w:pos="426"/>
        </w:tabs>
        <w:ind w:left="-567" w:right="-1"/>
        <w:jc w:val="both"/>
        <w:rPr>
          <w:sz w:val="22"/>
          <w:szCs w:val="22"/>
        </w:rPr>
      </w:pPr>
      <w:r w:rsidRPr="004A0E30">
        <w:rPr>
          <w:sz w:val="22"/>
          <w:szCs w:val="22"/>
        </w:rPr>
        <w:t xml:space="preserve">           Фахівець з публічних закупівель                                            </w:t>
      </w:r>
      <w:r w:rsidR="00F73E49">
        <w:rPr>
          <w:sz w:val="22"/>
          <w:szCs w:val="22"/>
        </w:rPr>
        <w:t xml:space="preserve">    </w:t>
      </w:r>
      <w:r w:rsidRPr="004A0E30">
        <w:rPr>
          <w:sz w:val="22"/>
          <w:szCs w:val="22"/>
        </w:rPr>
        <w:t xml:space="preserve">     Катерина ПОВАЛІЙ</w:t>
      </w:r>
    </w:p>
    <w:p w:rsidR="008447FC" w:rsidRPr="008447FC" w:rsidRDefault="008447FC" w:rsidP="008447FC">
      <w:pPr>
        <w:pStyle w:val="a3"/>
        <w:widowControl w:val="0"/>
        <w:shd w:val="clear" w:color="auto" w:fill="FFFFFF"/>
        <w:spacing w:before="0" w:beforeAutospacing="0" w:after="0" w:afterAutospacing="0"/>
        <w:jc w:val="both"/>
        <w:rPr>
          <w:b/>
          <w:bCs/>
          <w:color w:val="000000"/>
        </w:rPr>
      </w:pPr>
    </w:p>
    <w:p w:rsidR="008447FC" w:rsidRPr="00D06CD4" w:rsidRDefault="008447FC" w:rsidP="00D06CD4">
      <w:pPr>
        <w:pStyle w:val="a3"/>
        <w:widowControl w:val="0"/>
        <w:shd w:val="clear" w:color="auto" w:fill="FFFFFF"/>
        <w:spacing w:before="0" w:beforeAutospacing="0" w:after="0" w:afterAutospacing="0"/>
        <w:jc w:val="center"/>
        <w:rPr>
          <w:b/>
          <w:bCs/>
          <w:color w:val="000000"/>
          <w:sz w:val="40"/>
          <w:szCs w:val="40"/>
        </w:rPr>
      </w:pPr>
      <w:r w:rsidRPr="00655A64">
        <w:rPr>
          <w:b/>
          <w:bCs/>
          <w:color w:val="000000"/>
          <w:sz w:val="40"/>
          <w:szCs w:val="40"/>
        </w:rPr>
        <w:t xml:space="preserve"> </w:t>
      </w: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8447FC" w:rsidRDefault="008447FC" w:rsidP="0046466B">
      <w:pPr>
        <w:rPr>
          <w:bCs/>
        </w:rPr>
      </w:pPr>
    </w:p>
    <w:p w:rsidR="009A1903" w:rsidRPr="008447FC" w:rsidRDefault="009A1903" w:rsidP="008447FC">
      <w:pPr>
        <w:jc w:val="center"/>
        <w:rPr>
          <w:sz w:val="28"/>
          <w:szCs w:val="28"/>
        </w:rPr>
      </w:pPr>
    </w:p>
    <w:sectPr w:rsidR="009A1903" w:rsidRPr="008447FC" w:rsidSect="0046466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2CD"/>
    <w:multiLevelType w:val="multilevel"/>
    <w:tmpl w:val="B4C2F1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7EB3A83"/>
    <w:multiLevelType w:val="multilevel"/>
    <w:tmpl w:val="788ADF80"/>
    <w:lvl w:ilvl="0">
      <w:start w:val="1"/>
      <w:numFmt w:val="decimal"/>
      <w:lvlText w:val="%1."/>
      <w:lvlJc w:val="left"/>
      <w:pPr>
        <w:ind w:left="720" w:hanging="360"/>
      </w:pPr>
    </w:lvl>
    <w:lvl w:ilvl="1">
      <w:start w:val="1"/>
      <w:numFmt w:val="decimal"/>
      <w:isLgl/>
      <w:lvlText w:val="%1.%2."/>
      <w:lvlJc w:val="left"/>
      <w:pPr>
        <w:ind w:left="1272" w:hanging="552"/>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1F160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5BE3C87"/>
    <w:multiLevelType w:val="multilevel"/>
    <w:tmpl w:val="70CE16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447FC"/>
    <w:rsid w:val="00015AED"/>
    <w:rsid w:val="00017E9C"/>
    <w:rsid w:val="00023C03"/>
    <w:rsid w:val="0003164C"/>
    <w:rsid w:val="00082600"/>
    <w:rsid w:val="000A1EFE"/>
    <w:rsid w:val="000A20D9"/>
    <w:rsid w:val="000B19C0"/>
    <w:rsid w:val="000C228A"/>
    <w:rsid w:val="000C7063"/>
    <w:rsid w:val="000F27BD"/>
    <w:rsid w:val="00124C0B"/>
    <w:rsid w:val="00124EAB"/>
    <w:rsid w:val="00130D4E"/>
    <w:rsid w:val="00142DCB"/>
    <w:rsid w:val="001909F2"/>
    <w:rsid w:val="00192227"/>
    <w:rsid w:val="001C0029"/>
    <w:rsid w:val="001C48BA"/>
    <w:rsid w:val="001D0941"/>
    <w:rsid w:val="001D5362"/>
    <w:rsid w:val="001D7CF9"/>
    <w:rsid w:val="00200721"/>
    <w:rsid w:val="00212C26"/>
    <w:rsid w:val="002200A2"/>
    <w:rsid w:val="00231A12"/>
    <w:rsid w:val="0028650E"/>
    <w:rsid w:val="002937EC"/>
    <w:rsid w:val="00303E46"/>
    <w:rsid w:val="00310784"/>
    <w:rsid w:val="00310994"/>
    <w:rsid w:val="00312BF8"/>
    <w:rsid w:val="003134C4"/>
    <w:rsid w:val="003161F9"/>
    <w:rsid w:val="00330700"/>
    <w:rsid w:val="00331202"/>
    <w:rsid w:val="00331456"/>
    <w:rsid w:val="00332E88"/>
    <w:rsid w:val="00362DFA"/>
    <w:rsid w:val="00366292"/>
    <w:rsid w:val="003933C1"/>
    <w:rsid w:val="00397212"/>
    <w:rsid w:val="003A56F2"/>
    <w:rsid w:val="003B4729"/>
    <w:rsid w:val="003D2A04"/>
    <w:rsid w:val="003D2EA0"/>
    <w:rsid w:val="003D57BB"/>
    <w:rsid w:val="003F55BD"/>
    <w:rsid w:val="003F576D"/>
    <w:rsid w:val="0041670F"/>
    <w:rsid w:val="00445457"/>
    <w:rsid w:val="00455F7C"/>
    <w:rsid w:val="0046466B"/>
    <w:rsid w:val="004A0E30"/>
    <w:rsid w:val="004A2728"/>
    <w:rsid w:val="004A3A6A"/>
    <w:rsid w:val="004E7DD9"/>
    <w:rsid w:val="00512069"/>
    <w:rsid w:val="00516333"/>
    <w:rsid w:val="0052049B"/>
    <w:rsid w:val="00521247"/>
    <w:rsid w:val="0054759F"/>
    <w:rsid w:val="00563AF7"/>
    <w:rsid w:val="00581DB3"/>
    <w:rsid w:val="00587BB8"/>
    <w:rsid w:val="005A2D30"/>
    <w:rsid w:val="005A779C"/>
    <w:rsid w:val="005B1B94"/>
    <w:rsid w:val="005C641F"/>
    <w:rsid w:val="005D6410"/>
    <w:rsid w:val="005E25D9"/>
    <w:rsid w:val="005E2EDD"/>
    <w:rsid w:val="005F60F8"/>
    <w:rsid w:val="006059D3"/>
    <w:rsid w:val="006245FC"/>
    <w:rsid w:val="00634EA4"/>
    <w:rsid w:val="00647EA8"/>
    <w:rsid w:val="0068082F"/>
    <w:rsid w:val="00682B65"/>
    <w:rsid w:val="00694DE3"/>
    <w:rsid w:val="006D0248"/>
    <w:rsid w:val="006D3564"/>
    <w:rsid w:val="006D5284"/>
    <w:rsid w:val="007122FC"/>
    <w:rsid w:val="0073600C"/>
    <w:rsid w:val="0074456D"/>
    <w:rsid w:val="00757B8E"/>
    <w:rsid w:val="00757E30"/>
    <w:rsid w:val="007725D9"/>
    <w:rsid w:val="00787984"/>
    <w:rsid w:val="007A1832"/>
    <w:rsid w:val="007C2AB3"/>
    <w:rsid w:val="007D05C0"/>
    <w:rsid w:val="007D4C30"/>
    <w:rsid w:val="007F1084"/>
    <w:rsid w:val="007F6443"/>
    <w:rsid w:val="007F6509"/>
    <w:rsid w:val="00813524"/>
    <w:rsid w:val="00834FF0"/>
    <w:rsid w:val="008439B3"/>
    <w:rsid w:val="008447FC"/>
    <w:rsid w:val="00844EB6"/>
    <w:rsid w:val="008473B4"/>
    <w:rsid w:val="00873EE7"/>
    <w:rsid w:val="008825B9"/>
    <w:rsid w:val="00890DC1"/>
    <w:rsid w:val="00897B07"/>
    <w:rsid w:val="008A64EA"/>
    <w:rsid w:val="008E3C24"/>
    <w:rsid w:val="008E675E"/>
    <w:rsid w:val="008F723C"/>
    <w:rsid w:val="00911736"/>
    <w:rsid w:val="009127FB"/>
    <w:rsid w:val="00912994"/>
    <w:rsid w:val="00917A08"/>
    <w:rsid w:val="00954D1D"/>
    <w:rsid w:val="00977D8C"/>
    <w:rsid w:val="0098570B"/>
    <w:rsid w:val="00990FAC"/>
    <w:rsid w:val="009A1903"/>
    <w:rsid w:val="009A5E8D"/>
    <w:rsid w:val="009B1E31"/>
    <w:rsid w:val="009C60DF"/>
    <w:rsid w:val="00A0706B"/>
    <w:rsid w:val="00A5369D"/>
    <w:rsid w:val="00A56C28"/>
    <w:rsid w:val="00A572D1"/>
    <w:rsid w:val="00A8136C"/>
    <w:rsid w:val="00A84C01"/>
    <w:rsid w:val="00A8616F"/>
    <w:rsid w:val="00A91593"/>
    <w:rsid w:val="00AB3B6C"/>
    <w:rsid w:val="00B06878"/>
    <w:rsid w:val="00B12EB5"/>
    <w:rsid w:val="00B2246D"/>
    <w:rsid w:val="00B35A6F"/>
    <w:rsid w:val="00B52219"/>
    <w:rsid w:val="00B66E69"/>
    <w:rsid w:val="00B703B0"/>
    <w:rsid w:val="00B91F3C"/>
    <w:rsid w:val="00B922E3"/>
    <w:rsid w:val="00BB0D14"/>
    <w:rsid w:val="00BD2D7F"/>
    <w:rsid w:val="00C11B8C"/>
    <w:rsid w:val="00C167E2"/>
    <w:rsid w:val="00C43CA9"/>
    <w:rsid w:val="00C44233"/>
    <w:rsid w:val="00C540B0"/>
    <w:rsid w:val="00C93634"/>
    <w:rsid w:val="00C96CD3"/>
    <w:rsid w:val="00CA4481"/>
    <w:rsid w:val="00CC162B"/>
    <w:rsid w:val="00CD2827"/>
    <w:rsid w:val="00CF24A7"/>
    <w:rsid w:val="00CF6203"/>
    <w:rsid w:val="00D06CD4"/>
    <w:rsid w:val="00D34A15"/>
    <w:rsid w:val="00D57684"/>
    <w:rsid w:val="00D66145"/>
    <w:rsid w:val="00D661E0"/>
    <w:rsid w:val="00D83E5E"/>
    <w:rsid w:val="00D9158C"/>
    <w:rsid w:val="00D91E8B"/>
    <w:rsid w:val="00DD454F"/>
    <w:rsid w:val="00E00280"/>
    <w:rsid w:val="00E13B83"/>
    <w:rsid w:val="00E147ED"/>
    <w:rsid w:val="00E15656"/>
    <w:rsid w:val="00E3611F"/>
    <w:rsid w:val="00E456D6"/>
    <w:rsid w:val="00E47234"/>
    <w:rsid w:val="00E650AC"/>
    <w:rsid w:val="00E75C74"/>
    <w:rsid w:val="00E909E9"/>
    <w:rsid w:val="00EA437B"/>
    <w:rsid w:val="00EC0A61"/>
    <w:rsid w:val="00EE45A8"/>
    <w:rsid w:val="00F0097C"/>
    <w:rsid w:val="00F21974"/>
    <w:rsid w:val="00F347C3"/>
    <w:rsid w:val="00F42DA7"/>
    <w:rsid w:val="00F479E0"/>
    <w:rsid w:val="00F56768"/>
    <w:rsid w:val="00F62386"/>
    <w:rsid w:val="00F72969"/>
    <w:rsid w:val="00F73E49"/>
    <w:rsid w:val="00F75501"/>
    <w:rsid w:val="00F814E4"/>
    <w:rsid w:val="00F92805"/>
    <w:rsid w:val="00FA7C8E"/>
    <w:rsid w:val="00FB4C65"/>
    <w:rsid w:val="00FD5C62"/>
    <w:rsid w:val="00FF4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
    <w:basedOn w:val="a"/>
    <w:link w:val="a4"/>
    <w:qFormat/>
    <w:rsid w:val="008447FC"/>
    <w:pPr>
      <w:spacing w:before="100" w:beforeAutospacing="1" w:after="100" w:afterAutospacing="1"/>
    </w:pPr>
    <w:rPr>
      <w:lang w:eastAsia="uk-UA"/>
    </w:rPr>
  </w:style>
  <w:style w:type="character" w:customStyle="1" w:styleId="a4">
    <w:name w:val="Обычный (веб) Знак"/>
    <w:aliases w:val="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qFormat/>
    <w:locked/>
    <w:rsid w:val="008447FC"/>
    <w:rPr>
      <w:rFonts w:ascii="Times New Roman" w:eastAsia="Times New Roman" w:hAnsi="Times New Roman" w:cs="Times New Roman"/>
      <w:sz w:val="24"/>
      <w:szCs w:val="24"/>
      <w:lang w:val="uk-UA" w:eastAsia="uk-UA"/>
    </w:rPr>
  </w:style>
  <w:style w:type="table" w:styleId="a5">
    <w:name w:val="Table Grid"/>
    <w:basedOn w:val="a1"/>
    <w:uiPriority w:val="59"/>
    <w:rsid w:val="0071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6E69"/>
    <w:rPr>
      <w:rFonts w:ascii="Tahoma" w:hAnsi="Tahoma" w:cs="Tahoma"/>
      <w:sz w:val="16"/>
      <w:szCs w:val="16"/>
    </w:rPr>
  </w:style>
  <w:style w:type="character" w:customStyle="1" w:styleId="a7">
    <w:name w:val="Текст выноски Знак"/>
    <w:basedOn w:val="a0"/>
    <w:link w:val="a6"/>
    <w:uiPriority w:val="99"/>
    <w:semiHidden/>
    <w:rsid w:val="00B66E69"/>
    <w:rPr>
      <w:rFonts w:ascii="Tahoma" w:eastAsia="Times New Roman" w:hAnsi="Tahoma" w:cs="Tahoma"/>
      <w:sz w:val="16"/>
      <w:szCs w:val="16"/>
      <w:lang w:val="uk-UA" w:eastAsia="ru-RU"/>
    </w:rPr>
  </w:style>
  <w:style w:type="paragraph" w:customStyle="1" w:styleId="tbl-cod">
    <w:name w:val="tbl-cod"/>
    <w:basedOn w:val="a"/>
    <w:uiPriority w:val="99"/>
    <w:rsid w:val="00BB0D14"/>
    <w:pPr>
      <w:spacing w:before="100" w:beforeAutospacing="1" w:after="100" w:afterAutospacing="1"/>
    </w:pPr>
    <w:rPr>
      <w:lang w:eastAsia="uk-UA"/>
    </w:rPr>
  </w:style>
  <w:style w:type="paragraph" w:customStyle="1" w:styleId="rvps14">
    <w:name w:val="rvps14"/>
    <w:basedOn w:val="a"/>
    <w:rsid w:val="00C540B0"/>
    <w:pPr>
      <w:spacing w:before="100" w:beforeAutospacing="1" w:after="100" w:afterAutospacing="1"/>
    </w:pPr>
    <w:rPr>
      <w:lang w:val="ru-RU"/>
    </w:rPr>
  </w:style>
  <w:style w:type="character" w:customStyle="1" w:styleId="rvts0">
    <w:name w:val="rvts0"/>
    <w:rsid w:val="00C540B0"/>
    <w:rPr>
      <w:rFonts w:cs="Times New Roman"/>
    </w:rPr>
  </w:style>
  <w:style w:type="character" w:customStyle="1" w:styleId="xfm16991751">
    <w:name w:val="xfm_16991751"/>
    <w:rsid w:val="00310784"/>
  </w:style>
  <w:style w:type="paragraph" w:styleId="a8">
    <w:name w:val="footer"/>
    <w:basedOn w:val="a"/>
    <w:link w:val="a9"/>
    <w:uiPriority w:val="99"/>
    <w:rsid w:val="002937EC"/>
    <w:pPr>
      <w:tabs>
        <w:tab w:val="center" w:pos="4677"/>
        <w:tab w:val="right" w:pos="9355"/>
      </w:tabs>
    </w:pPr>
  </w:style>
  <w:style w:type="character" w:customStyle="1" w:styleId="a9">
    <w:name w:val="Нижний колонтитул Знак"/>
    <w:basedOn w:val="a0"/>
    <w:link w:val="a8"/>
    <w:uiPriority w:val="99"/>
    <w:rsid w:val="002937EC"/>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1486912">
      <w:bodyDiv w:val="1"/>
      <w:marLeft w:val="0"/>
      <w:marRight w:val="0"/>
      <w:marTop w:val="0"/>
      <w:marBottom w:val="0"/>
      <w:divBdr>
        <w:top w:val="none" w:sz="0" w:space="0" w:color="auto"/>
        <w:left w:val="none" w:sz="0" w:space="0" w:color="auto"/>
        <w:bottom w:val="none" w:sz="0" w:space="0" w:color="auto"/>
        <w:right w:val="none" w:sz="0" w:space="0" w:color="auto"/>
      </w:divBdr>
    </w:div>
    <w:div w:id="158886824">
      <w:bodyDiv w:val="1"/>
      <w:marLeft w:val="0"/>
      <w:marRight w:val="0"/>
      <w:marTop w:val="0"/>
      <w:marBottom w:val="0"/>
      <w:divBdr>
        <w:top w:val="none" w:sz="0" w:space="0" w:color="auto"/>
        <w:left w:val="none" w:sz="0" w:space="0" w:color="auto"/>
        <w:bottom w:val="none" w:sz="0" w:space="0" w:color="auto"/>
        <w:right w:val="none" w:sz="0" w:space="0" w:color="auto"/>
      </w:divBdr>
    </w:div>
    <w:div w:id="1382945984">
      <w:bodyDiv w:val="1"/>
      <w:marLeft w:val="0"/>
      <w:marRight w:val="0"/>
      <w:marTop w:val="0"/>
      <w:marBottom w:val="0"/>
      <w:divBdr>
        <w:top w:val="none" w:sz="0" w:space="0" w:color="auto"/>
        <w:left w:val="none" w:sz="0" w:space="0" w:color="auto"/>
        <w:bottom w:val="none" w:sz="0" w:space="0" w:color="auto"/>
        <w:right w:val="none" w:sz="0" w:space="0" w:color="auto"/>
      </w:divBdr>
    </w:div>
    <w:div w:id="16549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75086-9589-4FAE-84A7-72577792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139</cp:revision>
  <cp:lastPrinted>2023-10-02T11:31:00Z</cp:lastPrinted>
  <dcterms:created xsi:type="dcterms:W3CDTF">2023-09-07T11:55:00Z</dcterms:created>
  <dcterms:modified xsi:type="dcterms:W3CDTF">2023-10-17T09:10:00Z</dcterms:modified>
</cp:coreProperties>
</file>