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408" w:tblpY="-284"/>
        <w:tblW w:w="0" w:type="auto"/>
        <w:tblLook w:val="01E0" w:firstRow="1" w:lastRow="1" w:firstColumn="1" w:lastColumn="1" w:noHBand="0" w:noVBand="0"/>
      </w:tblPr>
      <w:tblGrid>
        <w:gridCol w:w="7161"/>
      </w:tblGrid>
      <w:tr w:rsidR="00EE0942" w:rsidRPr="001A2B1A">
        <w:trPr>
          <w:trHeight w:val="1908"/>
        </w:trPr>
        <w:tc>
          <w:tcPr>
            <w:tcW w:w="7161" w:type="dxa"/>
          </w:tcPr>
          <w:p w:rsidR="00FA6184" w:rsidRDefault="00FA6184" w:rsidP="00593057">
            <w:pPr>
              <w:spacing w:after="0" w:line="240" w:lineRule="auto"/>
              <w:ind w:firstLine="709"/>
              <w:jc w:val="right"/>
              <w:rPr>
                <w:rFonts w:ascii="Times New Roman" w:hAnsi="Times New Roman" w:cs="Times New Roman"/>
                <w:i/>
                <w:iCs/>
                <w:sz w:val="24"/>
                <w:szCs w:val="24"/>
                <w:bdr w:val="none" w:sz="0" w:space="0" w:color="auto" w:frame="1"/>
              </w:rPr>
            </w:pPr>
          </w:p>
          <w:p w:rsidR="00EE0942" w:rsidRPr="00653BF6" w:rsidRDefault="00EE0942" w:rsidP="00593057">
            <w:pPr>
              <w:spacing w:after="0" w:line="240" w:lineRule="auto"/>
              <w:ind w:firstLine="709"/>
              <w:jc w:val="right"/>
              <w:rPr>
                <w:rFonts w:ascii="Times New Roman" w:hAnsi="Times New Roman" w:cs="Times New Roman"/>
                <w:i/>
                <w:iCs/>
                <w:sz w:val="24"/>
                <w:szCs w:val="24"/>
                <w:bdr w:val="none" w:sz="0" w:space="0" w:color="auto" w:frame="1"/>
              </w:rPr>
            </w:pPr>
            <w:r w:rsidRPr="00653BF6">
              <w:rPr>
                <w:rFonts w:ascii="Times New Roman" w:hAnsi="Times New Roman" w:cs="Times New Roman"/>
                <w:i/>
                <w:iCs/>
                <w:sz w:val="24"/>
                <w:szCs w:val="24"/>
                <w:bdr w:val="none" w:sz="0" w:space="0" w:color="auto" w:frame="1"/>
              </w:rPr>
              <w:t xml:space="preserve">Додаток </w:t>
            </w:r>
            <w:r>
              <w:rPr>
                <w:rFonts w:ascii="Times New Roman" w:hAnsi="Times New Roman" w:cs="Times New Roman"/>
                <w:i/>
                <w:iCs/>
                <w:sz w:val="24"/>
                <w:szCs w:val="24"/>
                <w:bdr w:val="none" w:sz="0" w:space="0" w:color="auto" w:frame="1"/>
              </w:rPr>
              <w:t>2</w:t>
            </w:r>
          </w:p>
          <w:p w:rsidR="00EE0942" w:rsidRPr="00FA6184" w:rsidRDefault="000A663C" w:rsidP="004B63B9">
            <w:pPr>
              <w:spacing w:line="100" w:lineRule="atLeast"/>
              <w:jc w:val="both"/>
              <w:rPr>
                <w:rFonts w:ascii="Times New Roman" w:hAnsi="Times New Roman" w:cs="Times New Roman"/>
                <w:i/>
                <w:iCs/>
                <w:sz w:val="24"/>
                <w:szCs w:val="24"/>
                <w:bdr w:val="none" w:sz="0" w:space="0" w:color="auto" w:frame="1"/>
              </w:rPr>
            </w:pPr>
            <w:r w:rsidRPr="000A663C">
              <w:rPr>
                <w:rFonts w:ascii="Times New Roman" w:hAnsi="Times New Roman" w:cs="Times New Roman"/>
                <w:i/>
                <w:iCs/>
                <w:sz w:val="24"/>
                <w:szCs w:val="24"/>
                <w:bdr w:val="none" w:sz="0" w:space="0" w:color="auto" w:frame="1"/>
              </w:rPr>
              <w:t xml:space="preserve">до тендерної документації на закупівлю товару –  </w:t>
            </w:r>
            <w:r w:rsidR="004F4B87" w:rsidRPr="004F4B87">
              <w:rPr>
                <w:rFonts w:ascii="Times New Roman" w:hAnsi="Times New Roman" w:cs="Times New Roman"/>
                <w:i/>
                <w:iCs/>
                <w:sz w:val="24"/>
                <w:szCs w:val="24"/>
                <w:bdr w:val="none" w:sz="0" w:space="0" w:color="auto" w:frame="1"/>
              </w:rPr>
              <w:t>Національний класифікатор України ДК 021:2015 «Єдиний закупівельний словник: 24100000-5 (CPV)— Гази (Кисень газоподібний медичний)</w:t>
            </w:r>
            <w:bookmarkStart w:id="0" w:name="_GoBack"/>
            <w:bookmarkEnd w:id="0"/>
          </w:p>
        </w:tc>
      </w:tr>
    </w:tbl>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69026A" w:rsidRDefault="0069026A" w:rsidP="00BB5F3F">
      <w:pPr>
        <w:spacing w:after="0" w:line="240" w:lineRule="auto"/>
        <w:ind w:firstLine="284"/>
        <w:jc w:val="center"/>
        <w:rPr>
          <w:rFonts w:ascii="Times New Roman" w:hAnsi="Times New Roman" w:cs="Times New Roman"/>
          <w:b/>
          <w:bCs/>
          <w:i/>
          <w:iCs/>
          <w:sz w:val="24"/>
          <w:szCs w:val="24"/>
        </w:rPr>
      </w:pPr>
    </w:p>
    <w:p w:rsidR="00EE0942" w:rsidRDefault="00EE0942" w:rsidP="003E3925">
      <w:pPr>
        <w:spacing w:after="0" w:line="240" w:lineRule="auto"/>
        <w:rPr>
          <w:rFonts w:ascii="Times New Roman" w:hAnsi="Times New Roman" w:cs="Times New Roman"/>
          <w:b/>
          <w:bCs/>
          <w:i/>
          <w:iCs/>
          <w:sz w:val="24"/>
          <w:szCs w:val="24"/>
        </w:rPr>
      </w:pPr>
    </w:p>
    <w:p w:rsidR="00EE0942" w:rsidRPr="00200E50" w:rsidRDefault="00EE0942" w:rsidP="00BB5F3F">
      <w:pPr>
        <w:spacing w:after="0" w:line="240" w:lineRule="auto"/>
        <w:ind w:firstLine="284"/>
        <w:jc w:val="center"/>
        <w:rPr>
          <w:rFonts w:ascii="Times New Roman" w:hAnsi="Times New Roman" w:cs="Times New Roman"/>
          <w:b/>
          <w:bCs/>
          <w:i/>
          <w:iCs/>
          <w:sz w:val="24"/>
          <w:szCs w:val="24"/>
        </w:rPr>
      </w:pPr>
      <w:r w:rsidRPr="00200E50">
        <w:rPr>
          <w:rFonts w:ascii="Times New Roman" w:hAnsi="Times New Roman" w:cs="Times New Roman"/>
          <w:b/>
          <w:bCs/>
          <w:i/>
          <w:iCs/>
          <w:sz w:val="24"/>
          <w:szCs w:val="24"/>
        </w:rPr>
        <w:t xml:space="preserve">Вимоги, встановлені </w:t>
      </w:r>
      <w:hyperlink r:id="rId5" w:anchor="n294" w:history="1">
        <w:r w:rsidRPr="00200E50">
          <w:rPr>
            <w:rFonts w:ascii="Times New Roman" w:hAnsi="Times New Roman" w:cs="Times New Roman"/>
            <w:b/>
            <w:bCs/>
            <w:i/>
            <w:iCs/>
            <w:sz w:val="24"/>
            <w:szCs w:val="24"/>
          </w:rPr>
          <w:t>статтею 17</w:t>
        </w:r>
      </w:hyperlink>
      <w:r w:rsidRPr="00200E50">
        <w:rPr>
          <w:rFonts w:ascii="Times New Roman" w:hAnsi="Times New Roman" w:cs="Times New Roman"/>
          <w:b/>
          <w:bCs/>
          <w:i/>
          <w:iCs/>
          <w:sz w:val="24"/>
          <w:szCs w:val="24"/>
        </w:rPr>
        <w:t xml:space="preserve"> Закону та інформація про спосіб підтвердження відповідності учасників (переможця) вимогам згідно із законодавством</w:t>
      </w:r>
    </w:p>
    <w:p w:rsidR="00EE0942" w:rsidRPr="00200E50" w:rsidRDefault="00EE0942" w:rsidP="00E678D8">
      <w:pPr>
        <w:spacing w:after="0" w:line="240" w:lineRule="auto"/>
        <w:jc w:val="both"/>
        <w:rPr>
          <w:rFonts w:ascii="Times New Roman" w:hAnsi="Times New Roman" w:cs="Times New Roman"/>
          <w:b/>
          <w:bCs/>
          <w:i/>
          <w:iCs/>
          <w:sz w:val="24"/>
          <w:szCs w:val="24"/>
        </w:rPr>
      </w:pPr>
    </w:p>
    <w:p w:rsidR="00EE0942" w:rsidRPr="00685D92" w:rsidRDefault="00EE0942" w:rsidP="004B2D94">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1. </w:t>
      </w:r>
      <w:r>
        <w:rPr>
          <w:rFonts w:ascii="Times New Roman" w:hAnsi="Times New Roman" w:cs="Times New Roman"/>
          <w:b/>
          <w:bCs/>
          <w:sz w:val="24"/>
          <w:szCs w:val="24"/>
        </w:rPr>
        <w:t xml:space="preserve">Інформація </w:t>
      </w:r>
      <w:r w:rsidRPr="00200E50">
        <w:rPr>
          <w:rFonts w:ascii="Times New Roman" w:hAnsi="Times New Roman" w:cs="Times New Roman"/>
          <w:b/>
          <w:bCs/>
          <w:sz w:val="24"/>
          <w:szCs w:val="24"/>
        </w:rPr>
        <w:t xml:space="preserve">для </w:t>
      </w:r>
      <w:r w:rsidRPr="00200E50">
        <w:rPr>
          <w:rFonts w:ascii="Times New Roman" w:hAnsi="Times New Roman" w:cs="Times New Roman"/>
          <w:b/>
          <w:bCs/>
          <w:sz w:val="24"/>
          <w:szCs w:val="24"/>
          <w:u w:val="single"/>
        </w:rPr>
        <w:t>юридичних осіб, 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 xml:space="preserve">учасника </w:t>
      </w:r>
      <w:r w:rsidRPr="00200E50">
        <w:rPr>
          <w:rFonts w:ascii="Times New Roman" w:hAnsi="Times New Roman" w:cs="Times New Roman"/>
          <w:b/>
          <w:bCs/>
          <w:sz w:val="24"/>
          <w:szCs w:val="24"/>
        </w:rPr>
        <w:t>процедури закупівлі вимогам,</w:t>
      </w:r>
      <w:r w:rsidRPr="009F334B">
        <w:rPr>
          <w:rFonts w:ascii="Times New Roman" w:hAnsi="Times New Roman" w:cs="Times New Roman"/>
          <w:b/>
          <w:bCs/>
          <w:sz w:val="24"/>
          <w:szCs w:val="24"/>
        </w:rPr>
        <w:t xml:space="preserve"> </w:t>
      </w:r>
      <w:r w:rsidRPr="00200E50">
        <w:rPr>
          <w:rFonts w:ascii="Times New Roman" w:hAnsi="Times New Roman" w:cs="Times New Roman"/>
          <w:b/>
          <w:bCs/>
          <w:sz w:val="24"/>
          <w:szCs w:val="24"/>
        </w:rPr>
        <w:t>встановленим статтею 17 Закону України «Про публічні закупівлі»</w:t>
      </w:r>
      <w:r>
        <w:rPr>
          <w:rFonts w:ascii="Times New Roman" w:hAnsi="Times New Roman" w:cs="Times New Roman"/>
          <w:b/>
          <w:bCs/>
          <w:sz w:val="24"/>
          <w:szCs w:val="24"/>
        </w:rPr>
        <w:t xml:space="preserve"> (далі- Закон) зазначається  у електронних полях системи </w:t>
      </w:r>
      <w:proofErr w:type="spellStart"/>
      <w:r>
        <w:rPr>
          <w:rFonts w:ascii="Times New Roman" w:hAnsi="Times New Roman" w:cs="Times New Roman"/>
          <w:b/>
          <w:bCs/>
          <w:sz w:val="24"/>
          <w:szCs w:val="24"/>
          <w:lang w:val="en-US"/>
        </w:rPr>
        <w:t>Prozorro</w:t>
      </w:r>
      <w:proofErr w:type="spellEnd"/>
      <w:r>
        <w:rPr>
          <w:rFonts w:ascii="Times New Roman" w:hAnsi="Times New Roman" w:cs="Times New Roman"/>
          <w:b/>
          <w:bCs/>
          <w:sz w:val="24"/>
          <w:szCs w:val="24"/>
        </w:rPr>
        <w:t xml:space="preserve"> </w:t>
      </w:r>
      <w:r w:rsidRPr="00047CDE">
        <w:rPr>
          <w:rFonts w:ascii="Times New Roman" w:hAnsi="Times New Roman" w:cs="Times New Roman"/>
          <w:b/>
          <w:bCs/>
          <w:sz w:val="24"/>
          <w:szCs w:val="24"/>
        </w:rPr>
        <w:t>шляхом завантаження Учасником відповідних документів окремим файлом.</w:t>
      </w:r>
    </w:p>
    <w:p w:rsidR="00EE0942" w:rsidRPr="00200E50" w:rsidRDefault="00EE0942" w:rsidP="00BB5F3F">
      <w:pPr>
        <w:spacing w:after="0" w:line="240" w:lineRule="auto"/>
        <w:ind w:firstLine="284"/>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2. Документи для </w:t>
      </w:r>
      <w:r w:rsidRPr="00200E50">
        <w:rPr>
          <w:rFonts w:ascii="Times New Roman" w:hAnsi="Times New Roman" w:cs="Times New Roman"/>
          <w:b/>
          <w:bCs/>
          <w:sz w:val="24"/>
          <w:szCs w:val="24"/>
          <w:u w:val="single"/>
        </w:rPr>
        <w:t>юридичних осіб</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6"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2B1706">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2B1706">
            <w:pPr>
              <w:widowControl w:val="0"/>
              <w:spacing w:after="0" w:line="240" w:lineRule="auto"/>
              <w:jc w:val="both"/>
              <w:rPr>
                <w:rStyle w:val="rvts46"/>
                <w:rFonts w:ascii="Times New Roman" w:hAnsi="Times New Roman" w:cs="Times New Roman"/>
                <w:b/>
                <w:bCs/>
                <w:i/>
                <w:iCs/>
                <w:sz w:val="24"/>
                <w:szCs w:val="24"/>
                <w:bdr w:val="none" w:sz="0" w:space="0" w:color="auto" w:frame="1"/>
                <w:shd w:val="clear" w:color="auto" w:fill="FFFFFF"/>
              </w:rPr>
            </w:pPr>
            <w:r w:rsidRPr="00DA0CBA">
              <w:rPr>
                <w:rFonts w:ascii="Times New Roman" w:hAnsi="Times New Roman" w:cs="Times New Roman"/>
                <w:i/>
                <w:iCs/>
                <w:sz w:val="24"/>
                <w:szCs w:val="24"/>
                <w:shd w:val="clear" w:color="auto" w:fill="FFFFFF"/>
              </w:rPr>
              <w:t xml:space="preserve">Відомості про юридичну особу, яка є учасником, </w:t>
            </w:r>
            <w:proofErr w:type="spellStart"/>
            <w:r w:rsidRPr="00DA0CBA">
              <w:rPr>
                <w:rFonts w:ascii="Times New Roman" w:hAnsi="Times New Roman" w:cs="Times New Roman"/>
                <w:i/>
                <w:iCs/>
                <w:sz w:val="24"/>
                <w:szCs w:val="24"/>
                <w:shd w:val="clear" w:color="auto" w:fill="FFFFFF"/>
              </w:rPr>
              <w:t>внесено</w:t>
            </w:r>
            <w:proofErr w:type="spellEnd"/>
            <w:r w:rsidRPr="00DA0CBA">
              <w:rPr>
                <w:rFonts w:ascii="Times New Roman" w:hAnsi="Times New Roman" w:cs="Times New Roman"/>
                <w:i/>
                <w:iCs/>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EE0942" w:rsidRPr="00DA0CBA" w:rsidRDefault="00EE0942" w:rsidP="002B1706">
            <w:pPr>
              <w:widowControl w:val="0"/>
              <w:spacing w:after="0" w:line="240" w:lineRule="auto"/>
              <w:jc w:val="both"/>
              <w:rPr>
                <w:rFonts w:ascii="Times New Roman" w:hAnsi="Times New Roman" w:cs="Times New Roman"/>
                <w:b/>
                <w:bCs/>
                <w:i/>
                <w:iCs/>
                <w:sz w:val="24"/>
                <w:szCs w:val="24"/>
                <w:u w:val="single"/>
              </w:rPr>
            </w:pPr>
            <w:r w:rsidRPr="00DA0CBA">
              <w:rPr>
                <w:rFonts w:ascii="Times New Roman" w:hAnsi="Times New Roman" w:cs="Times New Roman"/>
                <w:b/>
                <w:bCs/>
                <w:i/>
                <w:iCs/>
                <w:sz w:val="24"/>
                <w:szCs w:val="24"/>
              </w:rPr>
              <w:t>(пункт 2 ч. 1 ст. 17 Закону)</w:t>
            </w:r>
          </w:p>
        </w:tc>
        <w:tc>
          <w:tcPr>
            <w:tcW w:w="6237" w:type="dxa"/>
          </w:tcPr>
          <w:p w:rsidR="00EE0942" w:rsidRPr="00200E50" w:rsidRDefault="00EE0942" w:rsidP="008C6A65">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cs="Times New Roman"/>
                <w:b/>
                <w:bCs/>
                <w:sz w:val="24"/>
                <w:szCs w:val="24"/>
              </w:rPr>
            </w:pPr>
          </w:p>
        </w:tc>
      </w:tr>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2B1706">
            <w:pPr>
              <w:pStyle w:val="a3"/>
              <w:spacing w:before="0" w:beforeAutospacing="0" w:after="0" w:afterAutospacing="0"/>
              <w:jc w:val="both"/>
              <w:rPr>
                <w:i/>
                <w:iCs/>
                <w:shd w:val="clear" w:color="auto" w:fill="FFFFFF"/>
              </w:rPr>
            </w:pPr>
          </w:p>
        </w:tc>
      </w:tr>
      <w:tr w:rsidR="00EE0942" w:rsidRPr="00DA0CBA">
        <w:tc>
          <w:tcPr>
            <w:tcW w:w="3508" w:type="dxa"/>
          </w:tcPr>
          <w:p w:rsidR="00EE0942" w:rsidRPr="00200E50" w:rsidRDefault="00EE0942" w:rsidP="002B1706">
            <w:pPr>
              <w:pStyle w:val="a3"/>
              <w:spacing w:before="0" w:beforeAutospacing="0" w:after="0" w:afterAutospacing="0"/>
              <w:jc w:val="both"/>
              <w:rPr>
                <w:i/>
                <w:iCs/>
              </w:rPr>
            </w:pPr>
            <w:r w:rsidRPr="00D45606">
              <w:rPr>
                <w:i/>
                <w:iCs/>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49560C" w:rsidRPr="0049560C">
              <w:rPr>
                <w:i/>
                <w:iCs/>
                <w:shd w:val="clear" w:color="auto" w:fill="FFFFFF"/>
              </w:rPr>
              <w:t>була засуджена за кримінальне правопорушення, вчинене з корисливих мотивів (зокрема, пов’язане</w:t>
            </w:r>
            <w:r w:rsidR="0049560C">
              <w:rPr>
                <w:i/>
                <w:iCs/>
                <w:shd w:val="clear" w:color="auto" w:fill="FFFFFF"/>
              </w:rPr>
              <w:t xml:space="preserve"> </w:t>
            </w:r>
            <w:r w:rsidRPr="00D45606">
              <w:rPr>
                <w:i/>
                <w:iCs/>
                <w:shd w:val="clear" w:color="auto" w:fill="FFFFFF"/>
              </w:rPr>
              <w:t xml:space="preserve">з хабарництвом, шахрайством та відмиванням коштів), судимість з якої не знято або не погашено у встановленому </w:t>
            </w:r>
            <w:r w:rsidRPr="00D45606">
              <w:rPr>
                <w:i/>
                <w:iCs/>
                <w:shd w:val="clear" w:color="auto" w:fill="FFFFFF"/>
              </w:rPr>
              <w:lastRenderedPageBreak/>
              <w:t>законом порядку</w:t>
            </w:r>
            <w:r>
              <w:t xml:space="preserve"> </w:t>
            </w:r>
            <w:r w:rsidRPr="00D45606">
              <w:rPr>
                <w:b/>
                <w:bCs/>
                <w:i/>
                <w:iCs/>
              </w:rPr>
              <w:t>(пункт 6 ч. 1 ст. 17 Закону)</w:t>
            </w:r>
          </w:p>
        </w:tc>
        <w:tc>
          <w:tcPr>
            <w:tcW w:w="6237" w:type="dxa"/>
          </w:tcPr>
          <w:p w:rsidR="00EE0942" w:rsidRPr="00DA0CBA" w:rsidRDefault="00EE0942" w:rsidP="002B1706">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lastRenderedPageBreak/>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EE0942" w:rsidRPr="00DA0CBA" w:rsidRDefault="00EE0942" w:rsidP="002B1706">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7E034E" w:rsidRDefault="00EE0942" w:rsidP="002B1706">
            <w:pPr>
              <w:spacing w:after="0" w:line="240" w:lineRule="auto"/>
              <w:jc w:val="both"/>
              <w:rPr>
                <w:rFonts w:ascii="Times New Roman" w:hAnsi="Times New Roman" w:cs="Times New Roman"/>
                <w:b/>
                <w:bCs/>
                <w:i/>
                <w:iCs/>
                <w:sz w:val="24"/>
                <w:szCs w:val="24"/>
                <w:highlight w:val="yellow"/>
              </w:rPr>
            </w:pPr>
            <w:r w:rsidRPr="005365B4">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2B1706">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2B1706">
            <w:pPr>
              <w:keepNext/>
              <w:keepLines/>
              <w:tabs>
                <w:tab w:val="left" w:pos="1080"/>
              </w:tabs>
              <w:spacing w:after="0" w:line="240" w:lineRule="auto"/>
              <w:jc w:val="both"/>
              <w:rPr>
                <w:i/>
                <w:iCs/>
                <w:sz w:val="24"/>
                <w:szCs w:val="24"/>
              </w:rPr>
            </w:pPr>
            <w:r w:rsidRPr="00A86EBF">
              <w:rPr>
                <w:rFonts w:ascii="Times New Roman" w:hAnsi="Times New Roman" w:cs="Times New Roman"/>
                <w:b/>
                <w:bCs/>
                <w:i/>
                <w:iCs/>
                <w:sz w:val="24"/>
                <w:szCs w:val="24"/>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sz w:val="24"/>
                <w:szCs w:val="24"/>
              </w:rPr>
              <w:t xml:space="preserve"> </w:t>
            </w:r>
          </w:p>
          <w:p w:rsidR="00EE0942" w:rsidRPr="007E034E" w:rsidRDefault="00EE0942" w:rsidP="002B1706">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r w:rsidRPr="007E034E">
              <w:rPr>
                <w:rFonts w:ascii="Times New Roman" w:hAnsi="Times New Roman" w:cs="Times New Roman"/>
                <w:i/>
                <w:iCs/>
              </w:rPr>
              <w:lastRenderedPageBreak/>
              <w:t>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A86EBF" w:rsidRDefault="00EE0942" w:rsidP="002B1706">
            <w:pPr>
              <w:pStyle w:val="a4"/>
              <w:widowControl w:val="0"/>
              <w:spacing w:before="0" w:beforeAutospacing="0" w:after="0" w:afterAutospacing="0"/>
              <w:jc w:val="both"/>
              <w:rPr>
                <w:i/>
                <w:iCs/>
                <w:shd w:val="clear" w:color="auto" w:fill="FFFFFF"/>
                <w:lang w:val="uk-UA" w:eastAsia="uk-UA"/>
              </w:rPr>
            </w:pPr>
            <w:r w:rsidRPr="00A86EBF">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86EBF">
              <w:rPr>
                <w:b/>
                <w:bCs/>
                <w:i/>
                <w:iCs/>
                <w:lang w:val="uk-UA" w:eastAsia="uk-UA"/>
              </w:rPr>
              <w:t>( ч. 2 ст. 17 Закону)</w:t>
            </w:r>
          </w:p>
        </w:tc>
        <w:tc>
          <w:tcPr>
            <w:tcW w:w="6237" w:type="dxa"/>
          </w:tcPr>
          <w:p w:rsidR="00EE0942" w:rsidRPr="00A86EBF" w:rsidRDefault="00EE0942" w:rsidP="002B1706">
            <w:pPr>
              <w:keepNext/>
              <w:keepLines/>
              <w:tabs>
                <w:tab w:val="left" w:pos="1080"/>
              </w:tabs>
              <w:spacing w:after="0" w:line="240" w:lineRule="auto"/>
              <w:jc w:val="both"/>
              <w:rPr>
                <w:rFonts w:ascii="Times New Roman" w:hAnsi="Times New Roman" w:cs="Times New Roman"/>
                <w:b/>
                <w:bCs/>
                <w:sz w:val="24"/>
                <w:szCs w:val="24"/>
              </w:rPr>
            </w:pPr>
            <w:r w:rsidRPr="00A86EBF">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sidRPr="00200E50">
        <w:rPr>
          <w:rFonts w:ascii="Times New Roman" w:hAnsi="Times New Roman" w:cs="Times New Roman"/>
          <w:b/>
          <w:bCs/>
          <w:sz w:val="24"/>
          <w:szCs w:val="24"/>
        </w:rPr>
        <w:t xml:space="preserve">3. Документи для </w:t>
      </w:r>
      <w:r w:rsidRPr="00200E50">
        <w:rPr>
          <w:rFonts w:ascii="Times New Roman" w:hAnsi="Times New Roman" w:cs="Times New Roman"/>
          <w:b/>
          <w:bCs/>
          <w:sz w:val="24"/>
          <w:szCs w:val="24"/>
          <w:u w:val="single"/>
        </w:rPr>
        <w:t>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7"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1954B8">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1954B8">
            <w:pPr>
              <w:pStyle w:val="a3"/>
              <w:spacing w:before="0" w:beforeAutospacing="0" w:after="0" w:afterAutospacing="0"/>
              <w:jc w:val="both"/>
              <w:rPr>
                <w:i/>
                <w:iCs/>
                <w:shd w:val="clear" w:color="auto" w:fill="FFFFFF"/>
              </w:rPr>
            </w:pPr>
          </w:p>
        </w:tc>
      </w:tr>
      <w:tr w:rsidR="00EE0942" w:rsidRPr="00DA0CBA">
        <w:tc>
          <w:tcPr>
            <w:tcW w:w="3508" w:type="dxa"/>
          </w:tcPr>
          <w:p w:rsidR="00EE0942" w:rsidRPr="00D45606"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B62CDD">
              <w:rPr>
                <w:rFonts w:ascii="Times New Roman" w:hAnsi="Times New Roman" w:cs="Times New Roman"/>
                <w:i/>
                <w:iCs/>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B20E4">
              <w:rPr>
                <w:rFonts w:ascii="Times New Roman" w:hAnsi="Times New Roman" w:cs="Times New Roman"/>
                <w:i/>
                <w:iCs/>
                <w:sz w:val="24"/>
                <w:szCs w:val="24"/>
                <w:shd w:val="clear" w:color="auto" w:fill="FFFFFF"/>
              </w:rPr>
              <w:t>(</w:t>
            </w:r>
            <w:r w:rsidRPr="00FB20E4">
              <w:rPr>
                <w:rFonts w:ascii="Times New Roman" w:hAnsi="Times New Roman" w:cs="Times New Roman"/>
                <w:b/>
                <w:bCs/>
                <w:i/>
                <w:iCs/>
                <w:sz w:val="24"/>
                <w:szCs w:val="24"/>
                <w:shd w:val="clear" w:color="auto" w:fill="FFFFFF"/>
              </w:rPr>
              <w:t>пункт 5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200E50" w:rsidRDefault="00EE0942" w:rsidP="001954B8">
            <w:pPr>
              <w:pStyle w:val="a3"/>
              <w:spacing w:before="0" w:beforeAutospacing="0" w:after="0" w:afterAutospacing="0"/>
              <w:jc w:val="both"/>
              <w:rPr>
                <w:i/>
                <w:iCs/>
              </w:rPr>
            </w:pPr>
            <w:r w:rsidRPr="00BC3B38">
              <w:rPr>
                <w:rFonts w:ascii="Times New Roman" w:hAnsi="Times New Roman" w:cs="Times New Roman"/>
                <w:i/>
                <w:iCs/>
                <w:shd w:val="clear" w:color="auto" w:fill="FFFFFF"/>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606">
              <w:rPr>
                <w:b/>
                <w:bCs/>
                <w:i/>
                <w:iCs/>
              </w:rPr>
              <w:t xml:space="preserve"> (пункт 6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1954B8">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AE4093" w:rsidRDefault="00EE0942" w:rsidP="001954B8">
            <w:pPr>
              <w:spacing w:after="0" w:line="240" w:lineRule="auto"/>
              <w:jc w:val="both"/>
              <w:rPr>
                <w:rFonts w:ascii="Times New Roman" w:hAnsi="Times New Roman" w:cs="Times New Roman"/>
                <w:b/>
                <w:bCs/>
                <w:i/>
                <w:iCs/>
                <w:sz w:val="24"/>
                <w:szCs w:val="24"/>
              </w:rPr>
            </w:pPr>
            <w:r w:rsidRPr="00AE4093">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1954B8">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1954B8">
            <w:pPr>
              <w:keepNext/>
              <w:keepLines/>
              <w:tabs>
                <w:tab w:val="left" w:pos="1080"/>
              </w:tabs>
              <w:spacing w:after="0" w:line="240" w:lineRule="auto"/>
              <w:jc w:val="both"/>
              <w:rPr>
                <w:i/>
                <w:iCs/>
              </w:rPr>
            </w:pPr>
            <w:r w:rsidRPr="00A86EBF">
              <w:rPr>
                <w:rFonts w:ascii="Times New Roman" w:hAnsi="Times New Roman" w:cs="Times New Roman"/>
                <w:b/>
                <w:bCs/>
                <w:i/>
                <w:iCs/>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rPr>
              <w:t xml:space="preserve"> </w:t>
            </w:r>
          </w:p>
          <w:p w:rsidR="00EE0942" w:rsidRPr="007E034E" w:rsidRDefault="00EE0942" w:rsidP="001954B8">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w:t>
            </w:r>
            <w:r w:rsidRPr="007E034E">
              <w:rPr>
                <w:rFonts w:ascii="Times New Roman" w:hAnsi="Times New Roman" w:cs="Times New Roman"/>
                <w:i/>
                <w:iCs/>
              </w:rPr>
              <w:lastRenderedPageBreak/>
              <w:t>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F33851" w:rsidRDefault="00EE0942" w:rsidP="001954B8">
            <w:pPr>
              <w:pStyle w:val="a4"/>
              <w:widowControl w:val="0"/>
              <w:spacing w:before="0" w:beforeAutospacing="0" w:after="0" w:afterAutospacing="0"/>
              <w:jc w:val="both"/>
              <w:rPr>
                <w:i/>
                <w:iCs/>
                <w:shd w:val="clear" w:color="auto" w:fill="FFFFFF"/>
                <w:lang w:val="uk-UA" w:eastAsia="uk-UA"/>
              </w:rPr>
            </w:pPr>
            <w:r w:rsidRPr="00F33851">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3851">
              <w:rPr>
                <w:b/>
                <w:bCs/>
                <w:i/>
                <w:iCs/>
                <w:lang w:val="uk-UA" w:eastAsia="uk-UA"/>
              </w:rPr>
              <w:t>( ч. 2 ст. 17 Закону)</w:t>
            </w:r>
          </w:p>
        </w:tc>
        <w:tc>
          <w:tcPr>
            <w:tcW w:w="6237" w:type="dxa"/>
          </w:tcPr>
          <w:p w:rsidR="00EE0942" w:rsidRPr="00F33851" w:rsidRDefault="00EE0942" w:rsidP="001954B8">
            <w:pPr>
              <w:keepNext/>
              <w:keepLines/>
              <w:tabs>
                <w:tab w:val="left" w:pos="1080"/>
              </w:tabs>
              <w:spacing w:after="0" w:line="240" w:lineRule="auto"/>
              <w:jc w:val="both"/>
              <w:rPr>
                <w:rFonts w:ascii="Times New Roman" w:hAnsi="Times New Roman" w:cs="Times New Roman"/>
                <w:b/>
                <w:bCs/>
                <w:sz w:val="24"/>
                <w:szCs w:val="24"/>
              </w:rPr>
            </w:pPr>
            <w:r w:rsidRPr="00F33851">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Примітки до Додатку 1</w:t>
      </w:r>
      <w:r w:rsidRPr="00200E50">
        <w:rPr>
          <w:rFonts w:ascii="Times New Roman" w:hAnsi="Times New Roman" w:cs="Times New Roman"/>
          <w:b/>
          <w:bCs/>
          <w:i/>
          <w:iCs/>
          <w:sz w:val="24"/>
          <w:szCs w:val="24"/>
          <w:u w:val="single"/>
        </w:rPr>
        <w:t xml:space="preserve"> до тендерної документації:</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0D4E7F">
        <w:rPr>
          <w:rFonts w:ascii="Times New Roman" w:hAnsi="Times New Roman" w:cs="Times New Roman"/>
          <w:b/>
          <w:bCs/>
          <w:i/>
          <w:iCs/>
          <w:sz w:val="24"/>
          <w:szCs w:val="24"/>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у разі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 </w:t>
      </w: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приймає рішення про відмову учаснику в участі у процедурі закупівлі та зобов’язаний </w:t>
      </w:r>
      <w:r w:rsidRPr="00E41F8E">
        <w:rPr>
          <w:rFonts w:ascii="Times New Roman" w:hAnsi="Times New Roman" w:cs="Times New Roman"/>
          <w:i/>
          <w:iCs/>
        </w:rPr>
        <w:lastRenderedPageBreak/>
        <w:t xml:space="preserve">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 2) відомості про юридичну особу, яка є учасником процедури закупівлі, </w:t>
      </w:r>
      <w:proofErr w:type="spellStart"/>
      <w:r w:rsidRPr="00E41F8E">
        <w:rPr>
          <w:rFonts w:ascii="Times New Roman" w:hAnsi="Times New Roman" w:cs="Times New Roman"/>
          <w:i/>
          <w:iCs/>
        </w:rPr>
        <w:t>внесено</w:t>
      </w:r>
      <w:proofErr w:type="spellEnd"/>
      <w:r w:rsidRPr="00E41F8E">
        <w:rPr>
          <w:rFonts w:ascii="Times New Roman" w:hAnsi="Times New Roman" w:cs="Times New Roman"/>
          <w:i/>
          <w:iCs/>
        </w:rPr>
        <w:t xml:space="preserve"> до Єдиного державного реєстру осіб, які вчинили корупційні або пов’язані з корупцією правопорушення;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1F8E">
        <w:rPr>
          <w:rFonts w:ascii="Times New Roman" w:hAnsi="Times New Roman" w:cs="Times New Roman"/>
          <w:i/>
          <w:iCs/>
        </w:rPr>
        <w:t>антиконкурентних</w:t>
      </w:r>
      <w:proofErr w:type="spellEnd"/>
      <w:r w:rsidRPr="00E41F8E">
        <w:rPr>
          <w:rFonts w:ascii="Times New Roman" w:hAnsi="Times New Roman" w:cs="Times New Roman"/>
          <w:i/>
          <w:iCs/>
        </w:rPr>
        <w:t xml:space="preserve"> узгоджених дій, що стосуються спотворення результатів тендерів;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5) фізична особа, яка є учасником процедури закупівлі</w:t>
      </w:r>
      <w:r w:rsidR="00E72F28">
        <w:rPr>
          <w:rFonts w:ascii="Times New Roman" w:hAnsi="Times New Roman" w:cs="Times New Roman"/>
          <w:i/>
          <w:iCs/>
        </w:rPr>
        <w:t xml:space="preserve">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Pr="00E41F8E">
        <w:rPr>
          <w:rFonts w:ascii="Times New Roman" w:hAnsi="Times New Roman" w:cs="Times New Roman"/>
          <w:i/>
          <w:iCs/>
        </w:rPr>
        <w:t xml:space="preserve"> з хабарництвом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00E72F28">
        <w:rPr>
          <w:rFonts w:ascii="Times New Roman" w:hAnsi="Times New Roman" w:cs="Times New Roman"/>
          <w:i/>
          <w:iCs/>
        </w:rPr>
        <w:t xml:space="preserve"> </w:t>
      </w:r>
      <w:r w:rsidRPr="00E41F8E">
        <w:rPr>
          <w:rFonts w:ascii="Times New Roman" w:hAnsi="Times New Roman" w:cs="Times New Roman"/>
          <w:i/>
          <w:iCs/>
        </w:rPr>
        <w:t xml:space="preserve">з хабарництвом, шахрайством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 xml:space="preserve"> Якщо замовник вважає таке підтвердження достатнім, учаснику не може бути відмовлено в участі в процедурі закупівлі;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згідно із статтею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EE0942" w:rsidRPr="00E41F8E"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E41F8E">
        <w:rPr>
          <w:rFonts w:ascii="Times New Roman" w:hAnsi="Times New Roman" w:cs="Times New Roman"/>
          <w:i/>
          <w:iCs/>
        </w:rPr>
        <w:t xml:space="preserve"> -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(ця вимога не стосується учасників, які здійснюють діяльність без печатки згідно з чинним законодавством) в якому зазначає законодавчі підстави ненадання таких документів та адреси відповідних сайтів.</w:t>
      </w:r>
    </w:p>
    <w:sectPr w:rsidR="00EE0942" w:rsidRPr="00E41F8E" w:rsidSect="00BC3D8F">
      <w:pgSz w:w="11906" w:h="16838"/>
      <w:pgMar w:top="53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645"/>
    <w:rsid w:val="00010020"/>
    <w:rsid w:val="00011C96"/>
    <w:rsid w:val="00015025"/>
    <w:rsid w:val="00023131"/>
    <w:rsid w:val="000326C4"/>
    <w:rsid w:val="0003465C"/>
    <w:rsid w:val="000433C4"/>
    <w:rsid w:val="00045FAE"/>
    <w:rsid w:val="00047CDE"/>
    <w:rsid w:val="0005364E"/>
    <w:rsid w:val="00060704"/>
    <w:rsid w:val="00061853"/>
    <w:rsid w:val="00065FC0"/>
    <w:rsid w:val="000676B2"/>
    <w:rsid w:val="00070054"/>
    <w:rsid w:val="00073AAD"/>
    <w:rsid w:val="00073C6D"/>
    <w:rsid w:val="000779D4"/>
    <w:rsid w:val="00082A87"/>
    <w:rsid w:val="00082E7C"/>
    <w:rsid w:val="00084CF3"/>
    <w:rsid w:val="000951DE"/>
    <w:rsid w:val="000A12FA"/>
    <w:rsid w:val="000A2F28"/>
    <w:rsid w:val="000A663C"/>
    <w:rsid w:val="000A7F10"/>
    <w:rsid w:val="000B020F"/>
    <w:rsid w:val="000B346B"/>
    <w:rsid w:val="000B62D2"/>
    <w:rsid w:val="000B7CEE"/>
    <w:rsid w:val="000D1B6F"/>
    <w:rsid w:val="000D2495"/>
    <w:rsid w:val="000D348A"/>
    <w:rsid w:val="000D4E7F"/>
    <w:rsid w:val="000D62A2"/>
    <w:rsid w:val="000E2F41"/>
    <w:rsid w:val="000E6964"/>
    <w:rsid w:val="000E7B07"/>
    <w:rsid w:val="000F2421"/>
    <w:rsid w:val="000F4D54"/>
    <w:rsid w:val="00104682"/>
    <w:rsid w:val="0011050E"/>
    <w:rsid w:val="00112D03"/>
    <w:rsid w:val="00114225"/>
    <w:rsid w:val="00116BC2"/>
    <w:rsid w:val="00127C52"/>
    <w:rsid w:val="001339F8"/>
    <w:rsid w:val="00135810"/>
    <w:rsid w:val="00137EA8"/>
    <w:rsid w:val="00143F38"/>
    <w:rsid w:val="00150A90"/>
    <w:rsid w:val="00150BF9"/>
    <w:rsid w:val="00156B36"/>
    <w:rsid w:val="00161418"/>
    <w:rsid w:val="001615D4"/>
    <w:rsid w:val="0016341E"/>
    <w:rsid w:val="0016434B"/>
    <w:rsid w:val="00170B7A"/>
    <w:rsid w:val="00177FD5"/>
    <w:rsid w:val="001841C1"/>
    <w:rsid w:val="001954B8"/>
    <w:rsid w:val="001A2B1A"/>
    <w:rsid w:val="001A2C45"/>
    <w:rsid w:val="001A710A"/>
    <w:rsid w:val="001B0028"/>
    <w:rsid w:val="001B3DE3"/>
    <w:rsid w:val="001B415A"/>
    <w:rsid w:val="001B68CA"/>
    <w:rsid w:val="001C43B8"/>
    <w:rsid w:val="001D01E8"/>
    <w:rsid w:val="001E2452"/>
    <w:rsid w:val="001E5352"/>
    <w:rsid w:val="001F7FFD"/>
    <w:rsid w:val="00200E50"/>
    <w:rsid w:val="00214EC5"/>
    <w:rsid w:val="0021678C"/>
    <w:rsid w:val="00222405"/>
    <w:rsid w:val="00222FF4"/>
    <w:rsid w:val="00235E18"/>
    <w:rsid w:val="002361CC"/>
    <w:rsid w:val="00236C45"/>
    <w:rsid w:val="002465D2"/>
    <w:rsid w:val="002574E3"/>
    <w:rsid w:val="002657E5"/>
    <w:rsid w:val="0027201D"/>
    <w:rsid w:val="00274F19"/>
    <w:rsid w:val="002811DC"/>
    <w:rsid w:val="002B09AB"/>
    <w:rsid w:val="002B1378"/>
    <w:rsid w:val="002B1706"/>
    <w:rsid w:val="002B7C11"/>
    <w:rsid w:val="002C6F89"/>
    <w:rsid w:val="002D0D9E"/>
    <w:rsid w:val="002D3F32"/>
    <w:rsid w:val="002D6E1A"/>
    <w:rsid w:val="002D7AEA"/>
    <w:rsid w:val="002E0B13"/>
    <w:rsid w:val="002F51D9"/>
    <w:rsid w:val="00301B4D"/>
    <w:rsid w:val="00306645"/>
    <w:rsid w:val="00306E76"/>
    <w:rsid w:val="00306E8F"/>
    <w:rsid w:val="00314CFC"/>
    <w:rsid w:val="003303FF"/>
    <w:rsid w:val="0033564F"/>
    <w:rsid w:val="003425F1"/>
    <w:rsid w:val="00342D3A"/>
    <w:rsid w:val="00343734"/>
    <w:rsid w:val="00352E02"/>
    <w:rsid w:val="003539D9"/>
    <w:rsid w:val="00356EFA"/>
    <w:rsid w:val="00365A26"/>
    <w:rsid w:val="003A0E73"/>
    <w:rsid w:val="003A338D"/>
    <w:rsid w:val="003A585C"/>
    <w:rsid w:val="003A6C4B"/>
    <w:rsid w:val="003B1215"/>
    <w:rsid w:val="003C396D"/>
    <w:rsid w:val="003E2879"/>
    <w:rsid w:val="003E3925"/>
    <w:rsid w:val="003E72FC"/>
    <w:rsid w:val="003F0F0D"/>
    <w:rsid w:val="003F1A0C"/>
    <w:rsid w:val="003F2CBC"/>
    <w:rsid w:val="003F5907"/>
    <w:rsid w:val="0041196F"/>
    <w:rsid w:val="00415B73"/>
    <w:rsid w:val="00416201"/>
    <w:rsid w:val="00423758"/>
    <w:rsid w:val="004316E5"/>
    <w:rsid w:val="00437361"/>
    <w:rsid w:val="00441FA3"/>
    <w:rsid w:val="00445BA9"/>
    <w:rsid w:val="00453DB6"/>
    <w:rsid w:val="004549D9"/>
    <w:rsid w:val="00455831"/>
    <w:rsid w:val="0046172D"/>
    <w:rsid w:val="004644DA"/>
    <w:rsid w:val="00467732"/>
    <w:rsid w:val="00471708"/>
    <w:rsid w:val="00472135"/>
    <w:rsid w:val="00472833"/>
    <w:rsid w:val="00472A72"/>
    <w:rsid w:val="0048340F"/>
    <w:rsid w:val="00490F2E"/>
    <w:rsid w:val="00492ECF"/>
    <w:rsid w:val="0049560C"/>
    <w:rsid w:val="00496CD8"/>
    <w:rsid w:val="004978A5"/>
    <w:rsid w:val="004A0430"/>
    <w:rsid w:val="004A1E4F"/>
    <w:rsid w:val="004A5DC6"/>
    <w:rsid w:val="004B2D94"/>
    <w:rsid w:val="004B63B9"/>
    <w:rsid w:val="004B7304"/>
    <w:rsid w:val="004C5441"/>
    <w:rsid w:val="004C6C46"/>
    <w:rsid w:val="004D3E7C"/>
    <w:rsid w:val="004D7A44"/>
    <w:rsid w:val="004E3142"/>
    <w:rsid w:val="004E3456"/>
    <w:rsid w:val="004E7E47"/>
    <w:rsid w:val="004F23AE"/>
    <w:rsid w:val="004F4B87"/>
    <w:rsid w:val="004F7D86"/>
    <w:rsid w:val="00507957"/>
    <w:rsid w:val="0051728D"/>
    <w:rsid w:val="005179C3"/>
    <w:rsid w:val="00531574"/>
    <w:rsid w:val="005332DE"/>
    <w:rsid w:val="005365B4"/>
    <w:rsid w:val="005457A8"/>
    <w:rsid w:val="005474D5"/>
    <w:rsid w:val="005641F6"/>
    <w:rsid w:val="005660B1"/>
    <w:rsid w:val="00566260"/>
    <w:rsid w:val="00572E03"/>
    <w:rsid w:val="00574195"/>
    <w:rsid w:val="005754E8"/>
    <w:rsid w:val="005778B4"/>
    <w:rsid w:val="005852B0"/>
    <w:rsid w:val="00593057"/>
    <w:rsid w:val="005A2A48"/>
    <w:rsid w:val="005A486E"/>
    <w:rsid w:val="005A5BE9"/>
    <w:rsid w:val="005A61AD"/>
    <w:rsid w:val="005A67AC"/>
    <w:rsid w:val="005A78D3"/>
    <w:rsid w:val="005B7699"/>
    <w:rsid w:val="005C3DD1"/>
    <w:rsid w:val="005C5E45"/>
    <w:rsid w:val="005C61AB"/>
    <w:rsid w:val="005C699B"/>
    <w:rsid w:val="005D2A55"/>
    <w:rsid w:val="005D4204"/>
    <w:rsid w:val="005E760F"/>
    <w:rsid w:val="005F54D0"/>
    <w:rsid w:val="005F69E5"/>
    <w:rsid w:val="005F6B4A"/>
    <w:rsid w:val="006116FE"/>
    <w:rsid w:val="00615694"/>
    <w:rsid w:val="00616611"/>
    <w:rsid w:val="0062193B"/>
    <w:rsid w:val="006244C6"/>
    <w:rsid w:val="00624EA3"/>
    <w:rsid w:val="0062502A"/>
    <w:rsid w:val="00633AD4"/>
    <w:rsid w:val="00636255"/>
    <w:rsid w:val="00642877"/>
    <w:rsid w:val="00653BF6"/>
    <w:rsid w:val="00663314"/>
    <w:rsid w:val="006661C6"/>
    <w:rsid w:val="00671A1E"/>
    <w:rsid w:val="00683678"/>
    <w:rsid w:val="00685D92"/>
    <w:rsid w:val="0069026A"/>
    <w:rsid w:val="006A2C8E"/>
    <w:rsid w:val="006A4FBC"/>
    <w:rsid w:val="006B1B1D"/>
    <w:rsid w:val="006C3575"/>
    <w:rsid w:val="006D21E4"/>
    <w:rsid w:val="006D5A78"/>
    <w:rsid w:val="006E3D06"/>
    <w:rsid w:val="006F493A"/>
    <w:rsid w:val="006F668E"/>
    <w:rsid w:val="006F7130"/>
    <w:rsid w:val="00703326"/>
    <w:rsid w:val="00717982"/>
    <w:rsid w:val="007205C2"/>
    <w:rsid w:val="00725B8A"/>
    <w:rsid w:val="00731346"/>
    <w:rsid w:val="00733EA7"/>
    <w:rsid w:val="007408BB"/>
    <w:rsid w:val="007408C4"/>
    <w:rsid w:val="007601B0"/>
    <w:rsid w:val="00760D16"/>
    <w:rsid w:val="00762F83"/>
    <w:rsid w:val="00763F16"/>
    <w:rsid w:val="00774C5D"/>
    <w:rsid w:val="0077643B"/>
    <w:rsid w:val="00783362"/>
    <w:rsid w:val="00786561"/>
    <w:rsid w:val="00793347"/>
    <w:rsid w:val="00793682"/>
    <w:rsid w:val="007A1403"/>
    <w:rsid w:val="007A556D"/>
    <w:rsid w:val="007A6C26"/>
    <w:rsid w:val="007B5F3A"/>
    <w:rsid w:val="007B6B8D"/>
    <w:rsid w:val="007C4BA0"/>
    <w:rsid w:val="007C4BA1"/>
    <w:rsid w:val="007C5474"/>
    <w:rsid w:val="007D5574"/>
    <w:rsid w:val="007E034E"/>
    <w:rsid w:val="007E79B1"/>
    <w:rsid w:val="007F2198"/>
    <w:rsid w:val="007F21FE"/>
    <w:rsid w:val="00816D95"/>
    <w:rsid w:val="00817EC6"/>
    <w:rsid w:val="0082146C"/>
    <w:rsid w:val="008229CB"/>
    <w:rsid w:val="00834A20"/>
    <w:rsid w:val="00843EFE"/>
    <w:rsid w:val="00845DA5"/>
    <w:rsid w:val="00857AA8"/>
    <w:rsid w:val="00861E79"/>
    <w:rsid w:val="00866EEE"/>
    <w:rsid w:val="00870230"/>
    <w:rsid w:val="00875A3E"/>
    <w:rsid w:val="0089792E"/>
    <w:rsid w:val="008A08C7"/>
    <w:rsid w:val="008B522D"/>
    <w:rsid w:val="008C1B94"/>
    <w:rsid w:val="008C22A2"/>
    <w:rsid w:val="008C4229"/>
    <w:rsid w:val="008C6A65"/>
    <w:rsid w:val="008D5AEA"/>
    <w:rsid w:val="008F20D1"/>
    <w:rsid w:val="009018B8"/>
    <w:rsid w:val="0091038E"/>
    <w:rsid w:val="009104E5"/>
    <w:rsid w:val="00921B40"/>
    <w:rsid w:val="0092239E"/>
    <w:rsid w:val="00931EBF"/>
    <w:rsid w:val="0093212E"/>
    <w:rsid w:val="00933CAC"/>
    <w:rsid w:val="009365BB"/>
    <w:rsid w:val="009426F8"/>
    <w:rsid w:val="00942C85"/>
    <w:rsid w:val="00946CF2"/>
    <w:rsid w:val="00951367"/>
    <w:rsid w:val="00970AC6"/>
    <w:rsid w:val="009867C4"/>
    <w:rsid w:val="009A02AA"/>
    <w:rsid w:val="009A69D8"/>
    <w:rsid w:val="009B25B6"/>
    <w:rsid w:val="009B306D"/>
    <w:rsid w:val="009B4D20"/>
    <w:rsid w:val="009B5B77"/>
    <w:rsid w:val="009B5F44"/>
    <w:rsid w:val="009B7136"/>
    <w:rsid w:val="009C255A"/>
    <w:rsid w:val="009C5C24"/>
    <w:rsid w:val="009C7B56"/>
    <w:rsid w:val="009D3C37"/>
    <w:rsid w:val="009D773E"/>
    <w:rsid w:val="009E6211"/>
    <w:rsid w:val="009F263F"/>
    <w:rsid w:val="009F31A5"/>
    <w:rsid w:val="009F334B"/>
    <w:rsid w:val="009F7489"/>
    <w:rsid w:val="00A0723C"/>
    <w:rsid w:val="00A22F78"/>
    <w:rsid w:val="00A23220"/>
    <w:rsid w:val="00A25C9C"/>
    <w:rsid w:val="00A354B2"/>
    <w:rsid w:val="00A42C79"/>
    <w:rsid w:val="00A473B2"/>
    <w:rsid w:val="00A526F8"/>
    <w:rsid w:val="00A5325D"/>
    <w:rsid w:val="00A65140"/>
    <w:rsid w:val="00A66D2B"/>
    <w:rsid w:val="00A67F33"/>
    <w:rsid w:val="00A774D9"/>
    <w:rsid w:val="00A8176F"/>
    <w:rsid w:val="00A86EBF"/>
    <w:rsid w:val="00A961A1"/>
    <w:rsid w:val="00AA0C24"/>
    <w:rsid w:val="00AA44F2"/>
    <w:rsid w:val="00AA4B7F"/>
    <w:rsid w:val="00AA6FF3"/>
    <w:rsid w:val="00AA7B78"/>
    <w:rsid w:val="00AC18BF"/>
    <w:rsid w:val="00AC733E"/>
    <w:rsid w:val="00AD1DE5"/>
    <w:rsid w:val="00AD3E37"/>
    <w:rsid w:val="00AD63D3"/>
    <w:rsid w:val="00AE4093"/>
    <w:rsid w:val="00AE6072"/>
    <w:rsid w:val="00AF5A66"/>
    <w:rsid w:val="00AF6E0D"/>
    <w:rsid w:val="00AF6E3D"/>
    <w:rsid w:val="00B35CA5"/>
    <w:rsid w:val="00B364CB"/>
    <w:rsid w:val="00B36C3D"/>
    <w:rsid w:val="00B40C76"/>
    <w:rsid w:val="00B44499"/>
    <w:rsid w:val="00B44BC5"/>
    <w:rsid w:val="00B44D11"/>
    <w:rsid w:val="00B5120B"/>
    <w:rsid w:val="00B62CDD"/>
    <w:rsid w:val="00B70CC7"/>
    <w:rsid w:val="00B90717"/>
    <w:rsid w:val="00B934BB"/>
    <w:rsid w:val="00BA5A38"/>
    <w:rsid w:val="00BA797B"/>
    <w:rsid w:val="00BB529A"/>
    <w:rsid w:val="00BB5F3F"/>
    <w:rsid w:val="00BC1991"/>
    <w:rsid w:val="00BC3B38"/>
    <w:rsid w:val="00BC3D8F"/>
    <w:rsid w:val="00BE0D3C"/>
    <w:rsid w:val="00BE2F0D"/>
    <w:rsid w:val="00BE5049"/>
    <w:rsid w:val="00C01EF1"/>
    <w:rsid w:val="00C020D3"/>
    <w:rsid w:val="00C07414"/>
    <w:rsid w:val="00C129D7"/>
    <w:rsid w:val="00C12A1E"/>
    <w:rsid w:val="00C12F98"/>
    <w:rsid w:val="00C2249E"/>
    <w:rsid w:val="00C30850"/>
    <w:rsid w:val="00C30F8C"/>
    <w:rsid w:val="00C3373A"/>
    <w:rsid w:val="00C3672B"/>
    <w:rsid w:val="00C375ED"/>
    <w:rsid w:val="00C413C3"/>
    <w:rsid w:val="00C52EDA"/>
    <w:rsid w:val="00C63252"/>
    <w:rsid w:val="00C72C8B"/>
    <w:rsid w:val="00C7338B"/>
    <w:rsid w:val="00C748D9"/>
    <w:rsid w:val="00C82294"/>
    <w:rsid w:val="00C82BDF"/>
    <w:rsid w:val="00C8323C"/>
    <w:rsid w:val="00C91405"/>
    <w:rsid w:val="00CA03E1"/>
    <w:rsid w:val="00CA279D"/>
    <w:rsid w:val="00CA6193"/>
    <w:rsid w:val="00CB7A3E"/>
    <w:rsid w:val="00CC2E7E"/>
    <w:rsid w:val="00CC4409"/>
    <w:rsid w:val="00CD2E2B"/>
    <w:rsid w:val="00CD6077"/>
    <w:rsid w:val="00CD7748"/>
    <w:rsid w:val="00CE05C9"/>
    <w:rsid w:val="00CE71D3"/>
    <w:rsid w:val="00CF44FD"/>
    <w:rsid w:val="00CF5357"/>
    <w:rsid w:val="00D13365"/>
    <w:rsid w:val="00D17220"/>
    <w:rsid w:val="00D1742C"/>
    <w:rsid w:val="00D30ED6"/>
    <w:rsid w:val="00D451A8"/>
    <w:rsid w:val="00D4544C"/>
    <w:rsid w:val="00D45606"/>
    <w:rsid w:val="00D4668C"/>
    <w:rsid w:val="00D54211"/>
    <w:rsid w:val="00D73853"/>
    <w:rsid w:val="00D82CE1"/>
    <w:rsid w:val="00D8703C"/>
    <w:rsid w:val="00D90424"/>
    <w:rsid w:val="00D90C69"/>
    <w:rsid w:val="00D9185A"/>
    <w:rsid w:val="00DA0CBA"/>
    <w:rsid w:val="00DA29D9"/>
    <w:rsid w:val="00DA2DDF"/>
    <w:rsid w:val="00DB5A84"/>
    <w:rsid w:val="00DC412F"/>
    <w:rsid w:val="00DC5F02"/>
    <w:rsid w:val="00DE4C21"/>
    <w:rsid w:val="00DE5427"/>
    <w:rsid w:val="00DF675E"/>
    <w:rsid w:val="00DF763A"/>
    <w:rsid w:val="00E04CEB"/>
    <w:rsid w:val="00E169A1"/>
    <w:rsid w:val="00E20915"/>
    <w:rsid w:val="00E21FAF"/>
    <w:rsid w:val="00E2213D"/>
    <w:rsid w:val="00E26D46"/>
    <w:rsid w:val="00E3327B"/>
    <w:rsid w:val="00E41F8E"/>
    <w:rsid w:val="00E45225"/>
    <w:rsid w:val="00E47828"/>
    <w:rsid w:val="00E47B23"/>
    <w:rsid w:val="00E678D8"/>
    <w:rsid w:val="00E723FD"/>
    <w:rsid w:val="00E72F28"/>
    <w:rsid w:val="00E81E94"/>
    <w:rsid w:val="00E82636"/>
    <w:rsid w:val="00E845D1"/>
    <w:rsid w:val="00E85042"/>
    <w:rsid w:val="00E95DFD"/>
    <w:rsid w:val="00EA4EC2"/>
    <w:rsid w:val="00EB6333"/>
    <w:rsid w:val="00EC196B"/>
    <w:rsid w:val="00EC3559"/>
    <w:rsid w:val="00EC4287"/>
    <w:rsid w:val="00ED0F02"/>
    <w:rsid w:val="00ED394A"/>
    <w:rsid w:val="00EE0942"/>
    <w:rsid w:val="00EE3A6C"/>
    <w:rsid w:val="00EE7352"/>
    <w:rsid w:val="00EF7C4A"/>
    <w:rsid w:val="00F003F2"/>
    <w:rsid w:val="00F07E02"/>
    <w:rsid w:val="00F137CC"/>
    <w:rsid w:val="00F20A8C"/>
    <w:rsid w:val="00F30258"/>
    <w:rsid w:val="00F33851"/>
    <w:rsid w:val="00F40E83"/>
    <w:rsid w:val="00F45B59"/>
    <w:rsid w:val="00F45D46"/>
    <w:rsid w:val="00F518EA"/>
    <w:rsid w:val="00F57104"/>
    <w:rsid w:val="00F65B13"/>
    <w:rsid w:val="00F80B6D"/>
    <w:rsid w:val="00F82073"/>
    <w:rsid w:val="00F85DDE"/>
    <w:rsid w:val="00F90481"/>
    <w:rsid w:val="00FA064F"/>
    <w:rsid w:val="00FA2F03"/>
    <w:rsid w:val="00FA6184"/>
    <w:rsid w:val="00FA653F"/>
    <w:rsid w:val="00FB20E4"/>
    <w:rsid w:val="00FB4A93"/>
    <w:rsid w:val="00FB5BF2"/>
    <w:rsid w:val="00FB6FF8"/>
    <w:rsid w:val="00FD3288"/>
    <w:rsid w:val="00FD5475"/>
    <w:rsid w:val="00FE0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5D419-6468-4DE6-A794-DDB0665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4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uiPriority w:val="99"/>
    <w:rsid w:val="00834A20"/>
  </w:style>
  <w:style w:type="character" w:customStyle="1" w:styleId="rvts11">
    <w:name w:val="rvts11"/>
    <w:uiPriority w:val="99"/>
    <w:rsid w:val="00834A20"/>
  </w:style>
  <w:style w:type="character" w:customStyle="1" w:styleId="rvts37">
    <w:name w:val="rvts37"/>
    <w:uiPriority w:val="99"/>
    <w:rsid w:val="00834A20"/>
  </w:style>
  <w:style w:type="character" w:customStyle="1" w:styleId="rvts46">
    <w:name w:val="rvts46"/>
    <w:uiPriority w:val="99"/>
    <w:rsid w:val="00834A20"/>
  </w:style>
  <w:style w:type="paragraph" w:customStyle="1" w:styleId="1">
    <w:name w:val="Обычный1"/>
    <w:uiPriority w:val="99"/>
    <w:rsid w:val="00F85DDE"/>
    <w:pPr>
      <w:spacing w:line="276" w:lineRule="auto"/>
    </w:pPr>
    <w:rPr>
      <w:rFonts w:ascii="Arial" w:hAnsi="Arial" w:cs="Arial"/>
      <w:color w:val="000000"/>
      <w:sz w:val="22"/>
      <w:szCs w:val="22"/>
      <w:lang w:val="ru-RU" w:eastAsia="ru-RU"/>
    </w:rPr>
  </w:style>
  <w:style w:type="character" w:customStyle="1" w:styleId="HTMLPreformattedChar">
    <w:name w:val="HTML Preformatted Char"/>
    <w:aliases w:val="Знак Char"/>
    <w:uiPriority w:val="99"/>
    <w:semiHidden/>
    <w:locked/>
    <w:rsid w:val="00DE5427"/>
    <w:rPr>
      <w:rFonts w:ascii="Courier New" w:hAnsi="Courier New" w:cs="Courier New"/>
    </w:rPr>
  </w:style>
  <w:style w:type="paragraph" w:styleId="HTML">
    <w:name w:val="HTML Preformatted"/>
    <w:aliases w:val="Знак"/>
    <w:basedOn w:val="a"/>
    <w:link w:val="HTML0"/>
    <w:uiPriority w:val="99"/>
    <w:semiHidden/>
    <w:rsid w:val="00DE5427"/>
    <w:pPr>
      <w:tabs>
        <w:tab w:val="left" w:pos="708"/>
      </w:tabs>
      <w:spacing w:after="0" w:line="240" w:lineRule="auto"/>
    </w:pPr>
    <w:rPr>
      <w:rFonts w:ascii="Courier New" w:hAnsi="Courier New" w:cs="Courier New"/>
      <w:sz w:val="20"/>
      <w:szCs w:val="20"/>
    </w:rPr>
  </w:style>
  <w:style w:type="character" w:customStyle="1" w:styleId="HTML0">
    <w:name w:val="Стандартний HTML Знак"/>
    <w:aliases w:val="Знак Знак"/>
    <w:link w:val="HTML"/>
    <w:uiPriority w:val="99"/>
    <w:semiHidden/>
    <w:locked/>
    <w:rsid w:val="006244C6"/>
    <w:rPr>
      <w:rFonts w:ascii="Courier New" w:hAnsi="Courier New" w:cs="Courier New"/>
      <w:sz w:val="20"/>
      <w:szCs w:val="20"/>
    </w:rPr>
  </w:style>
  <w:style w:type="character" w:customStyle="1" w:styleId="HTML1">
    <w:name w:val="Стандартный HTML Знак1"/>
    <w:uiPriority w:val="99"/>
    <w:semiHidden/>
    <w:rsid w:val="00DE5427"/>
    <w:rPr>
      <w:rFonts w:ascii="Consolas" w:hAnsi="Consolas" w:cs="Consolas"/>
      <w:sz w:val="20"/>
      <w:szCs w:val="20"/>
    </w:rPr>
  </w:style>
  <w:style w:type="paragraph" w:customStyle="1" w:styleId="rvps2">
    <w:name w:val="rvps2"/>
    <w:basedOn w:val="a"/>
    <w:uiPriority w:val="99"/>
    <w:rsid w:val="00EC196B"/>
    <w:pPr>
      <w:spacing w:before="100" w:beforeAutospacing="1" w:after="100" w:afterAutospacing="1" w:line="240" w:lineRule="auto"/>
    </w:pPr>
    <w:rPr>
      <w:sz w:val="24"/>
      <w:szCs w:val="24"/>
      <w:lang w:val="ru-RU" w:eastAsia="ru-RU"/>
    </w:rPr>
  </w:style>
  <w:style w:type="character" w:customStyle="1" w:styleId="rvts9">
    <w:name w:val="rvts9"/>
    <w:uiPriority w:val="99"/>
    <w:rsid w:val="00EC196B"/>
  </w:style>
  <w:style w:type="paragraph" w:styleId="a7">
    <w:name w:val="List Paragraph"/>
    <w:basedOn w:val="a"/>
    <w:uiPriority w:val="99"/>
    <w:qFormat/>
    <w:rsid w:val="00E845D1"/>
    <w:pPr>
      <w:ind w:left="720"/>
    </w:pPr>
  </w:style>
  <w:style w:type="paragraph" w:styleId="a8">
    <w:name w:val="Balloon Text"/>
    <w:basedOn w:val="a"/>
    <w:link w:val="a9"/>
    <w:uiPriority w:val="99"/>
    <w:semiHidden/>
    <w:rsid w:val="008C1B94"/>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8C1B94"/>
    <w:rPr>
      <w:rFonts w:ascii="Tahoma" w:hAnsi="Tahoma" w:cs="Tahoma"/>
      <w:sz w:val="16"/>
      <w:szCs w:val="16"/>
    </w:rPr>
  </w:style>
  <w:style w:type="character" w:styleId="aa">
    <w:name w:val="FollowedHyperlink"/>
    <w:uiPriority w:val="99"/>
    <w:semiHidden/>
    <w:rsid w:val="00866EEE"/>
    <w:rPr>
      <w:color w:val="800080"/>
      <w:u w:val="single"/>
    </w:rPr>
  </w:style>
  <w:style w:type="table" w:styleId="ab">
    <w:name w:val="Table Grid"/>
    <w:basedOn w:val="a1"/>
    <w:uiPriority w:val="99"/>
    <w:locked/>
    <w:rsid w:val="009426F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5780">
      <w:marLeft w:val="0"/>
      <w:marRight w:val="0"/>
      <w:marTop w:val="0"/>
      <w:marBottom w:val="0"/>
      <w:divBdr>
        <w:top w:val="none" w:sz="0" w:space="0" w:color="auto"/>
        <w:left w:val="none" w:sz="0" w:space="0" w:color="auto"/>
        <w:bottom w:val="none" w:sz="0" w:space="0" w:color="auto"/>
        <w:right w:val="none" w:sz="0" w:space="0" w:color="auto"/>
      </w:divBdr>
    </w:div>
    <w:div w:id="1249195781">
      <w:marLeft w:val="0"/>
      <w:marRight w:val="0"/>
      <w:marTop w:val="0"/>
      <w:marBottom w:val="0"/>
      <w:divBdr>
        <w:top w:val="none" w:sz="0" w:space="0" w:color="auto"/>
        <w:left w:val="none" w:sz="0" w:space="0" w:color="auto"/>
        <w:bottom w:val="none" w:sz="0" w:space="0" w:color="auto"/>
        <w:right w:val="none" w:sz="0" w:space="0" w:color="auto"/>
      </w:divBdr>
    </w:div>
    <w:div w:id="1249195782">
      <w:marLeft w:val="0"/>
      <w:marRight w:val="0"/>
      <w:marTop w:val="0"/>
      <w:marBottom w:val="0"/>
      <w:divBdr>
        <w:top w:val="none" w:sz="0" w:space="0" w:color="auto"/>
        <w:left w:val="none" w:sz="0" w:space="0" w:color="auto"/>
        <w:bottom w:val="none" w:sz="0" w:space="0" w:color="auto"/>
        <w:right w:val="none" w:sz="0" w:space="0" w:color="auto"/>
      </w:divBdr>
    </w:div>
    <w:div w:id="1249195783">
      <w:marLeft w:val="0"/>
      <w:marRight w:val="0"/>
      <w:marTop w:val="0"/>
      <w:marBottom w:val="0"/>
      <w:divBdr>
        <w:top w:val="none" w:sz="0" w:space="0" w:color="auto"/>
        <w:left w:val="none" w:sz="0" w:space="0" w:color="auto"/>
        <w:bottom w:val="none" w:sz="0" w:space="0" w:color="auto"/>
        <w:right w:val="none" w:sz="0" w:space="0" w:color="auto"/>
      </w:divBdr>
    </w:div>
    <w:div w:id="1249195784">
      <w:marLeft w:val="0"/>
      <w:marRight w:val="0"/>
      <w:marTop w:val="0"/>
      <w:marBottom w:val="0"/>
      <w:divBdr>
        <w:top w:val="none" w:sz="0" w:space="0" w:color="auto"/>
        <w:left w:val="none" w:sz="0" w:space="0" w:color="auto"/>
        <w:bottom w:val="none" w:sz="0" w:space="0" w:color="auto"/>
        <w:right w:val="none" w:sz="0" w:space="0" w:color="auto"/>
      </w:divBdr>
    </w:div>
    <w:div w:id="1249195785">
      <w:marLeft w:val="0"/>
      <w:marRight w:val="0"/>
      <w:marTop w:val="0"/>
      <w:marBottom w:val="0"/>
      <w:divBdr>
        <w:top w:val="none" w:sz="0" w:space="0" w:color="auto"/>
        <w:left w:val="none" w:sz="0" w:space="0" w:color="auto"/>
        <w:bottom w:val="none" w:sz="0" w:space="0" w:color="auto"/>
        <w:right w:val="none" w:sz="0" w:space="0" w:color="auto"/>
      </w:divBdr>
    </w:div>
    <w:div w:id="1249195786">
      <w:marLeft w:val="0"/>
      <w:marRight w:val="0"/>
      <w:marTop w:val="0"/>
      <w:marBottom w:val="0"/>
      <w:divBdr>
        <w:top w:val="none" w:sz="0" w:space="0" w:color="auto"/>
        <w:left w:val="none" w:sz="0" w:space="0" w:color="auto"/>
        <w:bottom w:val="none" w:sz="0" w:space="0" w:color="auto"/>
        <w:right w:val="none" w:sz="0" w:space="0" w:color="auto"/>
      </w:divBdr>
    </w:div>
    <w:div w:id="1249195787">
      <w:marLeft w:val="0"/>
      <w:marRight w:val="0"/>
      <w:marTop w:val="0"/>
      <w:marBottom w:val="0"/>
      <w:divBdr>
        <w:top w:val="none" w:sz="0" w:space="0" w:color="auto"/>
        <w:left w:val="none" w:sz="0" w:space="0" w:color="auto"/>
        <w:bottom w:val="none" w:sz="0" w:space="0" w:color="auto"/>
        <w:right w:val="none" w:sz="0" w:space="0" w:color="auto"/>
      </w:divBdr>
    </w:div>
    <w:div w:id="1249195788">
      <w:marLeft w:val="0"/>
      <w:marRight w:val="0"/>
      <w:marTop w:val="0"/>
      <w:marBottom w:val="0"/>
      <w:divBdr>
        <w:top w:val="none" w:sz="0" w:space="0" w:color="auto"/>
        <w:left w:val="none" w:sz="0" w:space="0" w:color="auto"/>
        <w:bottom w:val="none" w:sz="0" w:space="0" w:color="auto"/>
        <w:right w:val="none" w:sz="0" w:space="0" w:color="auto"/>
      </w:divBdr>
    </w:div>
    <w:div w:id="1249195789">
      <w:marLeft w:val="0"/>
      <w:marRight w:val="0"/>
      <w:marTop w:val="0"/>
      <w:marBottom w:val="0"/>
      <w:divBdr>
        <w:top w:val="none" w:sz="0" w:space="0" w:color="auto"/>
        <w:left w:val="none" w:sz="0" w:space="0" w:color="auto"/>
        <w:bottom w:val="none" w:sz="0" w:space="0" w:color="auto"/>
        <w:right w:val="none" w:sz="0" w:space="0" w:color="auto"/>
      </w:divBdr>
    </w:div>
    <w:div w:id="1249195790">
      <w:marLeft w:val="0"/>
      <w:marRight w:val="0"/>
      <w:marTop w:val="0"/>
      <w:marBottom w:val="0"/>
      <w:divBdr>
        <w:top w:val="none" w:sz="0" w:space="0" w:color="auto"/>
        <w:left w:val="none" w:sz="0" w:space="0" w:color="auto"/>
        <w:bottom w:val="none" w:sz="0" w:space="0" w:color="auto"/>
        <w:right w:val="none" w:sz="0" w:space="0" w:color="auto"/>
      </w:divBdr>
    </w:div>
    <w:div w:id="1249195791">
      <w:marLeft w:val="0"/>
      <w:marRight w:val="0"/>
      <w:marTop w:val="0"/>
      <w:marBottom w:val="0"/>
      <w:divBdr>
        <w:top w:val="none" w:sz="0" w:space="0" w:color="auto"/>
        <w:left w:val="none" w:sz="0" w:space="0" w:color="auto"/>
        <w:bottom w:val="none" w:sz="0" w:space="0" w:color="auto"/>
        <w:right w:val="none" w:sz="0" w:space="0" w:color="auto"/>
      </w:divBdr>
    </w:div>
    <w:div w:id="1249195792">
      <w:marLeft w:val="0"/>
      <w:marRight w:val="0"/>
      <w:marTop w:val="0"/>
      <w:marBottom w:val="0"/>
      <w:divBdr>
        <w:top w:val="none" w:sz="0" w:space="0" w:color="auto"/>
        <w:left w:val="none" w:sz="0" w:space="0" w:color="auto"/>
        <w:bottom w:val="none" w:sz="0" w:space="0" w:color="auto"/>
        <w:right w:val="none" w:sz="0" w:space="0" w:color="auto"/>
      </w:divBdr>
    </w:div>
    <w:div w:id="1249195793">
      <w:marLeft w:val="0"/>
      <w:marRight w:val="0"/>
      <w:marTop w:val="0"/>
      <w:marBottom w:val="0"/>
      <w:divBdr>
        <w:top w:val="none" w:sz="0" w:space="0" w:color="auto"/>
        <w:left w:val="none" w:sz="0" w:space="0" w:color="auto"/>
        <w:bottom w:val="none" w:sz="0" w:space="0" w:color="auto"/>
        <w:right w:val="none" w:sz="0" w:space="0" w:color="auto"/>
      </w:divBdr>
    </w:div>
    <w:div w:id="1249195794">
      <w:marLeft w:val="0"/>
      <w:marRight w:val="0"/>
      <w:marTop w:val="0"/>
      <w:marBottom w:val="0"/>
      <w:divBdr>
        <w:top w:val="none" w:sz="0" w:space="0" w:color="auto"/>
        <w:left w:val="none" w:sz="0" w:space="0" w:color="auto"/>
        <w:bottom w:val="none" w:sz="0" w:space="0" w:color="auto"/>
        <w:right w:val="none" w:sz="0" w:space="0" w:color="auto"/>
      </w:divBdr>
    </w:div>
    <w:div w:id="1249195795">
      <w:marLeft w:val="0"/>
      <w:marRight w:val="0"/>
      <w:marTop w:val="0"/>
      <w:marBottom w:val="0"/>
      <w:divBdr>
        <w:top w:val="none" w:sz="0" w:space="0" w:color="auto"/>
        <w:left w:val="none" w:sz="0" w:space="0" w:color="auto"/>
        <w:bottom w:val="none" w:sz="0" w:space="0" w:color="auto"/>
        <w:right w:val="none" w:sz="0" w:space="0" w:color="auto"/>
      </w:divBdr>
    </w:div>
    <w:div w:id="1249195796">
      <w:marLeft w:val="0"/>
      <w:marRight w:val="0"/>
      <w:marTop w:val="0"/>
      <w:marBottom w:val="0"/>
      <w:divBdr>
        <w:top w:val="none" w:sz="0" w:space="0" w:color="auto"/>
        <w:left w:val="none" w:sz="0" w:space="0" w:color="auto"/>
        <w:bottom w:val="none" w:sz="0" w:space="0" w:color="auto"/>
        <w:right w:val="none" w:sz="0" w:space="0" w:color="auto"/>
      </w:divBdr>
    </w:div>
    <w:div w:id="1249195797">
      <w:marLeft w:val="0"/>
      <w:marRight w:val="0"/>
      <w:marTop w:val="0"/>
      <w:marBottom w:val="0"/>
      <w:divBdr>
        <w:top w:val="none" w:sz="0" w:space="0" w:color="auto"/>
        <w:left w:val="none" w:sz="0" w:space="0" w:color="auto"/>
        <w:bottom w:val="none" w:sz="0" w:space="0" w:color="auto"/>
        <w:right w:val="none" w:sz="0" w:space="0" w:color="auto"/>
      </w:divBdr>
    </w:div>
    <w:div w:id="1249195798">
      <w:marLeft w:val="0"/>
      <w:marRight w:val="0"/>
      <w:marTop w:val="0"/>
      <w:marBottom w:val="0"/>
      <w:divBdr>
        <w:top w:val="none" w:sz="0" w:space="0" w:color="auto"/>
        <w:left w:val="none" w:sz="0" w:space="0" w:color="auto"/>
        <w:bottom w:val="none" w:sz="0" w:space="0" w:color="auto"/>
        <w:right w:val="none" w:sz="0" w:space="0" w:color="auto"/>
      </w:divBdr>
    </w:div>
    <w:div w:id="1249195799">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249195802">
      <w:marLeft w:val="0"/>
      <w:marRight w:val="0"/>
      <w:marTop w:val="0"/>
      <w:marBottom w:val="0"/>
      <w:divBdr>
        <w:top w:val="none" w:sz="0" w:space="0" w:color="auto"/>
        <w:left w:val="none" w:sz="0" w:space="0" w:color="auto"/>
        <w:bottom w:val="none" w:sz="0" w:space="0" w:color="auto"/>
        <w:right w:val="none" w:sz="0" w:space="0" w:color="auto"/>
      </w:divBdr>
    </w:div>
    <w:div w:id="1249195803">
      <w:marLeft w:val="0"/>
      <w:marRight w:val="0"/>
      <w:marTop w:val="0"/>
      <w:marBottom w:val="0"/>
      <w:divBdr>
        <w:top w:val="none" w:sz="0" w:space="0" w:color="auto"/>
        <w:left w:val="none" w:sz="0" w:space="0" w:color="auto"/>
        <w:bottom w:val="none" w:sz="0" w:space="0" w:color="auto"/>
        <w:right w:val="none" w:sz="0" w:space="0" w:color="auto"/>
      </w:divBdr>
    </w:div>
    <w:div w:id="1249195804">
      <w:marLeft w:val="0"/>
      <w:marRight w:val="0"/>
      <w:marTop w:val="0"/>
      <w:marBottom w:val="0"/>
      <w:divBdr>
        <w:top w:val="none" w:sz="0" w:space="0" w:color="auto"/>
        <w:left w:val="none" w:sz="0" w:space="0" w:color="auto"/>
        <w:bottom w:val="none" w:sz="0" w:space="0" w:color="auto"/>
        <w:right w:val="none" w:sz="0" w:space="0" w:color="auto"/>
      </w:divBdr>
    </w:div>
    <w:div w:id="1249195805">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1249195807">
      <w:marLeft w:val="0"/>
      <w:marRight w:val="0"/>
      <w:marTop w:val="0"/>
      <w:marBottom w:val="0"/>
      <w:divBdr>
        <w:top w:val="none" w:sz="0" w:space="0" w:color="auto"/>
        <w:left w:val="none" w:sz="0" w:space="0" w:color="auto"/>
        <w:bottom w:val="none" w:sz="0" w:space="0" w:color="auto"/>
        <w:right w:val="none" w:sz="0" w:space="0" w:color="auto"/>
      </w:divBdr>
    </w:div>
    <w:div w:id="1249195808">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 w:id="1249195810">
      <w:marLeft w:val="0"/>
      <w:marRight w:val="0"/>
      <w:marTop w:val="0"/>
      <w:marBottom w:val="0"/>
      <w:divBdr>
        <w:top w:val="none" w:sz="0" w:space="0" w:color="auto"/>
        <w:left w:val="none" w:sz="0" w:space="0" w:color="auto"/>
        <w:bottom w:val="none" w:sz="0" w:space="0" w:color="auto"/>
        <w:right w:val="none" w:sz="0" w:space="0" w:color="auto"/>
      </w:divBdr>
    </w:div>
    <w:div w:id="1249195811">
      <w:marLeft w:val="0"/>
      <w:marRight w:val="0"/>
      <w:marTop w:val="0"/>
      <w:marBottom w:val="0"/>
      <w:divBdr>
        <w:top w:val="none" w:sz="0" w:space="0" w:color="auto"/>
        <w:left w:val="none" w:sz="0" w:space="0" w:color="auto"/>
        <w:bottom w:val="none" w:sz="0" w:space="0" w:color="auto"/>
        <w:right w:val="none" w:sz="0" w:space="0" w:color="auto"/>
      </w:divBdr>
    </w:div>
    <w:div w:id="1249195812">
      <w:marLeft w:val="0"/>
      <w:marRight w:val="0"/>
      <w:marTop w:val="0"/>
      <w:marBottom w:val="0"/>
      <w:divBdr>
        <w:top w:val="none" w:sz="0" w:space="0" w:color="auto"/>
        <w:left w:val="none" w:sz="0" w:space="0" w:color="auto"/>
        <w:bottom w:val="none" w:sz="0" w:space="0" w:color="auto"/>
        <w:right w:val="none" w:sz="0" w:space="0" w:color="auto"/>
      </w:divBdr>
    </w:div>
    <w:div w:id="1249195813">
      <w:marLeft w:val="0"/>
      <w:marRight w:val="0"/>
      <w:marTop w:val="0"/>
      <w:marBottom w:val="0"/>
      <w:divBdr>
        <w:top w:val="none" w:sz="0" w:space="0" w:color="auto"/>
        <w:left w:val="none" w:sz="0" w:space="0" w:color="auto"/>
        <w:bottom w:val="none" w:sz="0" w:space="0" w:color="auto"/>
        <w:right w:val="none" w:sz="0" w:space="0" w:color="auto"/>
      </w:divBdr>
    </w:div>
    <w:div w:id="1249195814">
      <w:marLeft w:val="0"/>
      <w:marRight w:val="0"/>
      <w:marTop w:val="0"/>
      <w:marBottom w:val="0"/>
      <w:divBdr>
        <w:top w:val="none" w:sz="0" w:space="0" w:color="auto"/>
        <w:left w:val="none" w:sz="0" w:space="0" w:color="auto"/>
        <w:bottom w:val="none" w:sz="0" w:space="0" w:color="auto"/>
        <w:right w:val="none" w:sz="0" w:space="0" w:color="auto"/>
      </w:divBdr>
    </w:div>
    <w:div w:id="1249195815">
      <w:marLeft w:val="0"/>
      <w:marRight w:val="0"/>
      <w:marTop w:val="0"/>
      <w:marBottom w:val="0"/>
      <w:divBdr>
        <w:top w:val="none" w:sz="0" w:space="0" w:color="auto"/>
        <w:left w:val="none" w:sz="0" w:space="0" w:color="auto"/>
        <w:bottom w:val="none" w:sz="0" w:space="0" w:color="auto"/>
        <w:right w:val="none" w:sz="0" w:space="0" w:color="auto"/>
      </w:divBdr>
    </w:div>
    <w:div w:id="1249195816">
      <w:marLeft w:val="0"/>
      <w:marRight w:val="0"/>
      <w:marTop w:val="0"/>
      <w:marBottom w:val="0"/>
      <w:divBdr>
        <w:top w:val="none" w:sz="0" w:space="0" w:color="auto"/>
        <w:left w:val="none" w:sz="0" w:space="0" w:color="auto"/>
        <w:bottom w:val="none" w:sz="0" w:space="0" w:color="auto"/>
        <w:right w:val="none" w:sz="0" w:space="0" w:color="auto"/>
      </w:divBdr>
    </w:div>
    <w:div w:id="1249195817">
      <w:marLeft w:val="0"/>
      <w:marRight w:val="0"/>
      <w:marTop w:val="0"/>
      <w:marBottom w:val="0"/>
      <w:divBdr>
        <w:top w:val="none" w:sz="0" w:space="0" w:color="auto"/>
        <w:left w:val="none" w:sz="0" w:space="0" w:color="auto"/>
        <w:bottom w:val="none" w:sz="0" w:space="0" w:color="auto"/>
        <w:right w:val="none" w:sz="0" w:space="0" w:color="auto"/>
      </w:divBdr>
    </w:div>
    <w:div w:id="1249195818">
      <w:marLeft w:val="0"/>
      <w:marRight w:val="0"/>
      <w:marTop w:val="0"/>
      <w:marBottom w:val="0"/>
      <w:divBdr>
        <w:top w:val="none" w:sz="0" w:space="0" w:color="auto"/>
        <w:left w:val="none" w:sz="0" w:space="0" w:color="auto"/>
        <w:bottom w:val="none" w:sz="0" w:space="0" w:color="auto"/>
        <w:right w:val="none" w:sz="0" w:space="0" w:color="auto"/>
      </w:divBdr>
    </w:div>
    <w:div w:id="1249195819">
      <w:marLeft w:val="0"/>
      <w:marRight w:val="0"/>
      <w:marTop w:val="0"/>
      <w:marBottom w:val="0"/>
      <w:divBdr>
        <w:top w:val="none" w:sz="0" w:space="0" w:color="auto"/>
        <w:left w:val="none" w:sz="0" w:space="0" w:color="auto"/>
        <w:bottom w:val="none" w:sz="0" w:space="0" w:color="auto"/>
        <w:right w:val="none" w:sz="0" w:space="0" w:color="auto"/>
      </w:divBdr>
    </w:div>
    <w:div w:id="1249195820">
      <w:marLeft w:val="0"/>
      <w:marRight w:val="0"/>
      <w:marTop w:val="0"/>
      <w:marBottom w:val="0"/>
      <w:divBdr>
        <w:top w:val="none" w:sz="0" w:space="0" w:color="auto"/>
        <w:left w:val="none" w:sz="0" w:space="0" w:color="auto"/>
        <w:bottom w:val="none" w:sz="0" w:space="0" w:color="auto"/>
        <w:right w:val="none" w:sz="0" w:space="0" w:color="auto"/>
      </w:divBdr>
    </w:div>
    <w:div w:id="1249195821">
      <w:marLeft w:val="0"/>
      <w:marRight w:val="0"/>
      <w:marTop w:val="0"/>
      <w:marBottom w:val="0"/>
      <w:divBdr>
        <w:top w:val="none" w:sz="0" w:space="0" w:color="auto"/>
        <w:left w:val="none" w:sz="0" w:space="0" w:color="auto"/>
        <w:bottom w:val="none" w:sz="0" w:space="0" w:color="auto"/>
        <w:right w:val="none" w:sz="0" w:space="0" w:color="auto"/>
      </w:divBdr>
    </w:div>
    <w:div w:id="1249195822">
      <w:marLeft w:val="0"/>
      <w:marRight w:val="0"/>
      <w:marTop w:val="0"/>
      <w:marBottom w:val="0"/>
      <w:divBdr>
        <w:top w:val="none" w:sz="0" w:space="0" w:color="auto"/>
        <w:left w:val="none" w:sz="0" w:space="0" w:color="auto"/>
        <w:bottom w:val="none" w:sz="0" w:space="0" w:color="auto"/>
        <w:right w:val="none" w:sz="0" w:space="0" w:color="auto"/>
      </w:divBdr>
    </w:div>
    <w:div w:id="1249195823">
      <w:marLeft w:val="0"/>
      <w:marRight w:val="0"/>
      <w:marTop w:val="0"/>
      <w:marBottom w:val="0"/>
      <w:divBdr>
        <w:top w:val="none" w:sz="0" w:space="0" w:color="auto"/>
        <w:left w:val="none" w:sz="0" w:space="0" w:color="auto"/>
        <w:bottom w:val="none" w:sz="0" w:space="0" w:color="auto"/>
        <w:right w:val="none" w:sz="0" w:space="0" w:color="auto"/>
      </w:divBdr>
    </w:div>
    <w:div w:id="124919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922-19/print1446483030158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12863</Words>
  <Characters>7332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Grizli777</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User</cp:lastModifiedBy>
  <cp:revision>21</cp:revision>
  <cp:lastPrinted>2020-05-18T04:51:00Z</cp:lastPrinted>
  <dcterms:created xsi:type="dcterms:W3CDTF">2021-01-26T14:49:00Z</dcterms:created>
  <dcterms:modified xsi:type="dcterms:W3CDTF">2023-02-22T07:03:00Z</dcterms:modified>
</cp:coreProperties>
</file>