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982CCF">
        <w:rPr>
          <w:rFonts w:ascii="Times New Roman" w:eastAsia="Times New Roman" w:hAnsi="Times New Roman"/>
          <w:sz w:val="24"/>
          <w:szCs w:val="28"/>
          <w:lang w:val="uk-UA" w:eastAsia="zh-CN"/>
        </w:rPr>
        <w:t>24</w:t>
      </w:r>
      <w:r w:rsidR="003B49D2">
        <w:rPr>
          <w:rFonts w:ascii="Times New Roman" w:eastAsia="Times New Roman" w:hAnsi="Times New Roman"/>
          <w:sz w:val="24"/>
          <w:szCs w:val="28"/>
          <w:lang w:val="uk-UA" w:eastAsia="zh-CN"/>
        </w:rPr>
        <w:t>.06</w:t>
      </w:r>
      <w:r w:rsidR="002D245C">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3B49D2">
        <w:rPr>
          <w:rFonts w:ascii="Times New Roman" w:eastAsia="Times New Roman" w:hAnsi="Times New Roman"/>
          <w:sz w:val="24"/>
          <w:szCs w:val="28"/>
          <w:lang w:val="uk-UA" w:eastAsia="zh-CN"/>
        </w:rPr>
        <w:t>7</w:t>
      </w:r>
      <w:r w:rsidR="00982CCF">
        <w:rPr>
          <w:rFonts w:ascii="Times New Roman" w:eastAsia="Times New Roman" w:hAnsi="Times New Roman"/>
          <w:sz w:val="24"/>
          <w:szCs w:val="28"/>
          <w:lang w:val="uk-UA" w:eastAsia="zh-CN"/>
        </w:rPr>
        <w:t>9</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982CCF" w:rsidRPr="00982CCF">
        <w:rPr>
          <w:rFonts w:ascii="Times New Roman" w:eastAsia="Times New Roman" w:hAnsi="Times New Roman"/>
          <w:bCs/>
          <w:lang w:val="uk-UA" w:eastAsia="ar-SA"/>
        </w:rPr>
        <w:t>Страхові послуги (66516100-1 «Послуги зі страхування цивільної відповідальності власників автомобільного транспорту»)</w:t>
      </w:r>
      <w:r w:rsidR="002D245C">
        <w:rPr>
          <w:rFonts w:ascii="Times New Roman" w:eastAsia="Times New Roman" w:hAnsi="Times New Roman"/>
          <w:bCs/>
          <w:lang w:val="uk-UA" w:eastAsia="ar-SA"/>
        </w:rPr>
        <w:t xml:space="preserve">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982CCF" w:rsidRPr="00982CCF">
        <w:rPr>
          <w:rFonts w:ascii="Times New Roman" w:eastAsia="Times New Roman" w:hAnsi="Times New Roman"/>
          <w:bCs/>
          <w:lang w:val="uk-UA" w:eastAsia="ar-SA"/>
        </w:rPr>
        <w:t>66510000-8 Страхові послуги</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D245C" w:rsidRPr="002D245C" w:rsidRDefault="002D245C" w:rsidP="002D245C">
            <w:pPr>
              <w:tabs>
                <w:tab w:val="left" w:pos="4892"/>
              </w:tabs>
              <w:spacing w:after="0" w:line="240" w:lineRule="auto"/>
              <w:jc w:val="both"/>
              <w:rPr>
                <w:rFonts w:ascii="Times New Roman" w:eastAsia="Times New Roman" w:hAnsi="Times New Roman"/>
                <w:lang w:val="uk-UA"/>
              </w:rPr>
            </w:pPr>
            <w:r w:rsidRPr="002D245C">
              <w:rPr>
                <w:rFonts w:ascii="Times New Roman" w:eastAsia="Times New Roman" w:hAnsi="Times New Roman"/>
                <w:lang w:val="uk-UA"/>
              </w:rPr>
              <w:t xml:space="preserve">ДЕРЖАВНЕ ПІДПРИЄМСТВО «ДЕРЖАВНИЙ ЕКСПЕРТНИЙ ЦЕНТР </w:t>
            </w:r>
          </w:p>
          <w:p w:rsidR="0091416F" w:rsidRPr="00C158CC" w:rsidRDefault="002D245C" w:rsidP="002D245C">
            <w:pPr>
              <w:suppressAutoHyphens/>
              <w:autoSpaceDN w:val="0"/>
              <w:snapToGrid w:val="0"/>
              <w:spacing w:after="0" w:line="240" w:lineRule="auto"/>
              <w:jc w:val="both"/>
              <w:rPr>
                <w:rFonts w:ascii="Times New Roman" w:eastAsia="Times New Roman" w:hAnsi="Times New Roman"/>
                <w:lang w:val="uk-UA" w:eastAsia="ar-SA"/>
              </w:rPr>
            </w:pPr>
            <w:r w:rsidRPr="002D245C">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2D245C" w:rsidP="00FA34E4">
            <w:pPr>
              <w:tabs>
                <w:tab w:val="left" w:pos="0"/>
              </w:tabs>
              <w:spacing w:line="240" w:lineRule="auto"/>
              <w:rPr>
                <w:rFonts w:ascii="Times New Roman" w:eastAsia="Times New Roman" w:hAnsi="Times New Roman"/>
                <w:lang w:val="uk-UA" w:eastAsia="ru-RU"/>
              </w:rPr>
            </w:pPr>
            <w:r w:rsidRPr="002D245C">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2D245C">
              <w:rPr>
                <w:rFonts w:ascii="Times New Roman" w:eastAsia="Times New Roman" w:hAnsi="Times New Roman"/>
                <w:lang w:val="uk-UA" w:eastAsia="ru-RU"/>
              </w:rPr>
              <w:t xml:space="preserve"> </w:t>
            </w:r>
            <w:r w:rsidR="00F63F8E">
              <w:rPr>
                <w:rFonts w:ascii="Times New Roman" w:eastAsia="Times New Roman" w:hAnsi="Times New Roman"/>
                <w:lang w:val="uk-UA" w:eastAsia="ru-RU"/>
              </w:rPr>
              <w:t xml:space="preserve">Інна </w:t>
            </w:r>
            <w:r w:rsidR="002D245C">
              <w:rPr>
                <w:rFonts w:ascii="Times New Roman" w:eastAsia="Times New Roman" w:hAnsi="Times New Roman"/>
                <w:lang w:val="uk-UA" w:eastAsia="ru-RU"/>
              </w:rPr>
              <w:t>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390B15">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2D245C">
              <w:rPr>
                <w:rFonts w:ascii="Times New Roman" w:eastAsia="Times New Roman" w:hAnsi="Times New Roman"/>
                <w:lang w:val="uk-UA" w:eastAsia="ru-RU"/>
              </w:rPr>
              <w:t xml:space="preserve"> </w:t>
            </w:r>
            <w:r w:rsidR="00390B15">
              <w:rPr>
                <w:rFonts w:ascii="Times New Roman" w:eastAsia="Times New Roman" w:hAnsi="Times New Roman"/>
                <w:lang w:val="uk-UA" w:eastAsia="ru-RU"/>
              </w:rPr>
              <w:t>Юрій ВОЛОШЕНКО (044) 2021700</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982CCF"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390B15" w:rsidP="00CC2233">
            <w:pPr>
              <w:suppressAutoHyphens/>
              <w:spacing w:after="0" w:line="240" w:lineRule="auto"/>
              <w:jc w:val="both"/>
              <w:rPr>
                <w:rFonts w:ascii="Times New Roman" w:eastAsia="Times New Roman" w:hAnsi="Times New Roman"/>
                <w:bCs/>
                <w:lang w:val="uk-UA" w:eastAsia="ar-SA"/>
              </w:rPr>
            </w:pPr>
            <w:r w:rsidRPr="00390B15">
              <w:rPr>
                <w:rFonts w:ascii="Times New Roman" w:eastAsia="Times New Roman" w:hAnsi="Times New Roman"/>
                <w:bCs/>
                <w:lang w:val="uk-UA" w:eastAsia="ar-SA"/>
              </w:rPr>
              <w:t>Страхові послуги (66516100-1 «Послуги зі страхування цивільної відповідальності власників автомобільного транспорту»)</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A0EC0" w:rsidRDefault="00BA0EC0" w:rsidP="00FA34E4">
            <w:pPr>
              <w:widowControl w:val="0"/>
              <w:suppressAutoHyphens/>
              <w:autoSpaceDE w:val="0"/>
              <w:snapToGrid w:val="0"/>
              <w:spacing w:after="0" w:line="240" w:lineRule="auto"/>
              <w:jc w:val="both"/>
              <w:rPr>
                <w:rFonts w:ascii="Times New Roman" w:hAnsi="Times New Roman"/>
                <w:lang w:val="uk-UA" w:eastAsia="ru-RU"/>
              </w:rPr>
            </w:pPr>
            <w:r>
              <w:rPr>
                <w:rFonts w:ascii="Times New Roman" w:hAnsi="Times New Roman"/>
                <w:lang w:val="uk-UA" w:eastAsia="ru-RU"/>
              </w:rPr>
              <w:t>Послуги</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662DFB"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982CCF"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Кількість товару або обсяг виконання </w:t>
            </w:r>
            <w:r w:rsidRPr="00C158CC">
              <w:rPr>
                <w:rFonts w:ascii="Times New Roman" w:eastAsia="Times New Roman" w:hAnsi="Times New Roman"/>
                <w:b/>
                <w:lang w:val="uk-UA" w:eastAsia="ar-SA"/>
              </w:rPr>
              <w:lastRenderedPageBreak/>
              <w:t>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213CE9" w:rsidRDefault="00390B15" w:rsidP="00EC6CCC">
            <w:pPr>
              <w:suppressAutoHyphens/>
              <w:spacing w:after="0" w:line="240" w:lineRule="auto"/>
              <w:jc w:val="both"/>
              <w:rPr>
                <w:rFonts w:ascii="Times New Roman" w:eastAsia="Times New Roman" w:hAnsi="Times New Roman"/>
                <w:bCs/>
                <w:lang w:val="uk-UA" w:eastAsia="ar-SA"/>
              </w:rPr>
            </w:pPr>
            <w:r w:rsidRPr="00390B15">
              <w:rPr>
                <w:rFonts w:ascii="Times New Roman" w:eastAsia="Times New Roman" w:hAnsi="Times New Roman"/>
                <w:bCs/>
                <w:lang w:val="uk-UA" w:eastAsia="ar-SA"/>
              </w:rPr>
              <w:lastRenderedPageBreak/>
              <w:t xml:space="preserve">Страхові послуги (66516100-1 «Послуги зі страхування цивільної відповідальності власників автомобільного транспорту») </w:t>
            </w:r>
            <w:r w:rsidR="00336221" w:rsidRPr="00336221">
              <w:rPr>
                <w:rFonts w:ascii="Times New Roman" w:eastAsia="Times New Roman" w:hAnsi="Times New Roman"/>
                <w:bCs/>
                <w:lang w:val="uk-UA" w:eastAsia="ar-SA"/>
              </w:rPr>
              <w:t xml:space="preserve"> –</w:t>
            </w:r>
            <w:r w:rsidR="00EC6CCC" w:rsidRPr="00EC6CCC">
              <w:rPr>
                <w:rFonts w:ascii="Times New Roman" w:eastAsia="Times New Roman" w:hAnsi="Times New Roman"/>
                <w:bCs/>
                <w:lang w:eastAsia="ar-SA"/>
              </w:rPr>
              <w:t xml:space="preserve"> 2 </w:t>
            </w:r>
            <w:proofErr w:type="spellStart"/>
            <w:r w:rsidR="00336221" w:rsidRPr="00336221">
              <w:rPr>
                <w:rFonts w:ascii="Times New Roman" w:eastAsia="Times New Roman" w:hAnsi="Times New Roman"/>
                <w:bCs/>
                <w:lang w:val="uk-UA" w:eastAsia="ar-SA"/>
              </w:rPr>
              <w:t>шт</w:t>
            </w:r>
            <w:proofErr w:type="spellEnd"/>
            <w:r w:rsidR="00336221" w:rsidRPr="00336221">
              <w:rPr>
                <w:rFonts w:ascii="Times New Roman" w:eastAsia="Times New Roman" w:hAnsi="Times New Roman"/>
                <w:bCs/>
                <w:lang w:val="uk-UA" w:eastAsia="ar-S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CF1A69" w:rsidRDefault="00846D6C" w:rsidP="00FA34E4">
            <w:pPr>
              <w:suppressAutoHyphens/>
              <w:autoSpaceDN w:val="0"/>
              <w:snapToGrid w:val="0"/>
              <w:spacing w:after="0" w:line="240" w:lineRule="auto"/>
              <w:rPr>
                <w:rFonts w:ascii="Times New Roman" w:hAnsi="Times New Roman"/>
                <w:color w:val="000000"/>
                <w:lang w:val="uk-UA"/>
              </w:rPr>
            </w:pPr>
            <w:r w:rsidRPr="00846D6C">
              <w:rPr>
                <w:rFonts w:ascii="Times New Roman" w:hAnsi="Times New Roman"/>
                <w:color w:val="000000"/>
                <w:lang w:val="uk-UA"/>
              </w:rPr>
              <w:t>03057, м. Київ, вул. Смоленська, 10</w:t>
            </w: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846D6C" w:rsidP="00CC2233">
            <w:pPr>
              <w:suppressAutoHyphens/>
              <w:autoSpaceDN w:val="0"/>
              <w:snapToGrid w:val="0"/>
              <w:spacing w:after="0" w:line="240" w:lineRule="auto"/>
              <w:rPr>
                <w:rFonts w:ascii="Times New Roman" w:eastAsia="Times New Roman" w:hAnsi="Times New Roman"/>
                <w:color w:val="000000"/>
                <w:lang w:val="uk-UA" w:eastAsia="ar-SA"/>
              </w:rPr>
            </w:pPr>
            <w:r w:rsidRPr="00846D6C">
              <w:rPr>
                <w:rFonts w:ascii="Times New Roman" w:hAnsi="Times New Roman"/>
                <w:color w:val="000000"/>
                <w:lang w:val="uk-UA"/>
              </w:rPr>
              <w:t>12 (дванадцяти) календарних місяців</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982CCF"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846D6C" w:rsidP="00336221">
            <w:pPr>
              <w:suppressAutoHyphens/>
              <w:autoSpaceDN w:val="0"/>
              <w:snapToGrid w:val="0"/>
              <w:spacing w:after="0" w:line="240" w:lineRule="auto"/>
              <w:rPr>
                <w:rFonts w:ascii="Times New Roman" w:eastAsia="Times New Roman" w:hAnsi="Times New Roman"/>
                <w:lang w:val="uk-UA" w:eastAsia="ar-SA"/>
              </w:rPr>
            </w:pPr>
            <w:r>
              <w:rPr>
                <w:rFonts w:ascii="Times New Roman" w:eastAsia="Times New Roman" w:hAnsi="Times New Roman"/>
                <w:lang w:val="uk-UA" w:eastAsia="ar-SA"/>
              </w:rPr>
              <w:t>100%</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846D6C" w:rsidP="00336221">
            <w:pPr>
              <w:widowControl w:val="0"/>
              <w:spacing w:line="240" w:lineRule="auto"/>
              <w:ind w:left="34" w:right="113"/>
              <w:contextualSpacing/>
              <w:jc w:val="both"/>
              <w:rPr>
                <w:rFonts w:ascii="Times New Roman" w:eastAsia="Times New Roman" w:hAnsi="Times New Roman"/>
                <w:i/>
                <w:lang w:val="uk-UA" w:eastAsia="ar-SA"/>
              </w:rPr>
            </w:pPr>
            <w:r>
              <w:rPr>
                <w:rFonts w:ascii="Times New Roman" w:eastAsia="Times New Roman" w:hAnsi="Times New Roman"/>
                <w:lang w:val="uk-UA" w:eastAsia="ar-SA"/>
              </w:rPr>
              <w:t>6500</w:t>
            </w:r>
            <w:r w:rsidR="00BA0EC0" w:rsidRPr="00BA0EC0">
              <w:rPr>
                <w:rFonts w:ascii="Times New Roman" w:eastAsia="Times New Roman" w:hAnsi="Times New Roman"/>
                <w:lang w:val="uk-UA" w:eastAsia="ar-S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535552" w:rsidP="00846D6C">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bCs/>
                <w:lang w:val="uk-UA" w:eastAsia="ar-SA"/>
              </w:rPr>
              <w:t>3</w:t>
            </w:r>
            <w:r w:rsidR="00E95188">
              <w:rPr>
                <w:rFonts w:ascii="Times New Roman" w:eastAsia="Times New Roman" w:hAnsi="Times New Roman"/>
                <w:bCs/>
                <w:lang w:val="uk-UA" w:eastAsia="ar-SA"/>
              </w:rPr>
              <w:t xml:space="preserve"> </w:t>
            </w:r>
            <w:r w:rsidR="00662DFB">
              <w:rPr>
                <w:rFonts w:ascii="Times New Roman" w:eastAsia="Times New Roman" w:hAnsi="Times New Roman"/>
                <w:bCs/>
                <w:lang w:val="uk-UA" w:eastAsia="ar-SA"/>
              </w:rPr>
              <w:t xml:space="preserve">24.06.2022 до </w:t>
            </w:r>
            <w:r w:rsidR="00846D6C">
              <w:rPr>
                <w:rFonts w:ascii="Times New Roman" w:eastAsia="Times New Roman" w:hAnsi="Times New Roman"/>
                <w:bCs/>
                <w:lang w:val="uk-UA" w:eastAsia="ar-SA"/>
              </w:rPr>
              <w:t>0</w:t>
            </w:r>
            <w:r w:rsidR="00662DFB">
              <w:rPr>
                <w:rFonts w:ascii="Times New Roman" w:eastAsia="Times New Roman" w:hAnsi="Times New Roman"/>
                <w:bCs/>
                <w:lang w:val="en-US" w:eastAsia="ar-SA"/>
              </w:rPr>
              <w:t>4</w:t>
            </w:r>
            <w:r w:rsidR="00662DFB">
              <w:rPr>
                <w:rFonts w:ascii="Times New Roman" w:eastAsia="Times New Roman" w:hAnsi="Times New Roman"/>
                <w:bCs/>
                <w:lang w:val="uk-UA" w:eastAsia="ar-SA"/>
              </w:rPr>
              <w:t>.07</w:t>
            </w:r>
            <w:r w:rsidR="00956CFC">
              <w:rPr>
                <w:rFonts w:ascii="Times New Roman" w:eastAsia="Times New Roman" w:hAnsi="Times New Roman"/>
                <w:bCs/>
                <w:lang w:val="uk-UA" w:eastAsia="ar-S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lastRenderedPageBreak/>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lastRenderedPageBreak/>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956CFC">
              <w:rPr>
                <w:rFonts w:ascii="Times New Roman" w:eastAsia="Times New Roman" w:hAnsi="Times New Roman"/>
                <w:lang w:val="uk-UA" w:eastAsia="ar-SA"/>
              </w:rPr>
              <w:t xml:space="preserve"> оригіналі російською мовою,</w:t>
            </w:r>
            <w:r w:rsidR="00351F44">
              <w:rPr>
                <w:rFonts w:ascii="Times New Roman" w:eastAsia="Times New Roman" w:hAnsi="Times New Roman"/>
                <w:lang w:val="uk-UA" w:eastAsia="ar-SA"/>
              </w:rPr>
              <w:t xml:space="preserve">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lastRenderedPageBreak/>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662DFB" w:rsidP="008929D0">
            <w:pPr>
              <w:widowControl w:val="0"/>
              <w:spacing w:line="240" w:lineRule="auto"/>
              <w:ind w:left="34" w:right="113"/>
              <w:contextualSpacing/>
              <w:jc w:val="both"/>
              <w:rPr>
                <w:rFonts w:ascii="Times New Roman" w:eastAsia="Times New Roman" w:hAnsi="Times New Roman"/>
                <w:bCs/>
                <w:i/>
                <w:lang w:val="uk-UA" w:eastAsia="ar-SA"/>
              </w:rPr>
            </w:pPr>
            <w:r>
              <w:rPr>
                <w:rFonts w:ascii="Times New Roman" w:eastAsia="Times New Roman" w:hAnsi="Times New Roman"/>
                <w:bCs/>
                <w:i/>
                <w:lang w:val="uk-UA" w:eastAsia="ar-SA"/>
              </w:rPr>
              <w:t>08</w:t>
            </w:r>
            <w:bookmarkStart w:id="0" w:name="_GoBack"/>
            <w:bookmarkEnd w:id="0"/>
            <w:r w:rsidR="00846D6C">
              <w:rPr>
                <w:rFonts w:ascii="Times New Roman" w:eastAsia="Times New Roman" w:hAnsi="Times New Roman"/>
                <w:bCs/>
                <w:i/>
                <w:lang w:val="uk-UA" w:eastAsia="ar-SA"/>
              </w:rPr>
              <w:t xml:space="preserve"> лип</w:t>
            </w:r>
            <w:r w:rsidR="00956CFC">
              <w:rPr>
                <w:rFonts w:ascii="Times New Roman" w:eastAsia="Times New Roman" w:hAnsi="Times New Roman"/>
                <w:bCs/>
                <w:i/>
                <w:lang w:val="uk-UA" w:eastAsia="ar-SA"/>
              </w:rPr>
              <w:t>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3461A4"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CE5A9B">
              <w:rPr>
                <w:rFonts w:ascii="Times New Roman" w:eastAsia="Times New Roman" w:hAnsi="Times New Roman"/>
                <w:bCs/>
                <w:lang w:val="uk-UA" w:eastAsia="ar-SA"/>
              </w:rPr>
              <w:t>0,5</w:t>
            </w:r>
            <w:r w:rsidR="00956CFC">
              <w:rPr>
                <w:rFonts w:ascii="Times New Roman" w:eastAsia="Times New Roman" w:hAnsi="Times New Roman"/>
                <w:bCs/>
                <w:lang w:val="uk-UA" w:eastAsia="ar-SA"/>
              </w:rPr>
              <w:t>% від очікуваної вартості</w:t>
            </w:r>
          </w:p>
          <w:p w:rsidR="0091416F" w:rsidRPr="00492FD3"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662DFB"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w:t>
            </w:r>
            <w:r w:rsidRPr="00C158CC">
              <w:rPr>
                <w:rFonts w:ascii="Times New Roman" w:eastAsia="Times New Roman" w:hAnsi="Times New Roman"/>
                <w:lang w:val="uk-UA" w:eastAsia="uk-UA"/>
              </w:rPr>
              <w:lastRenderedPageBreak/>
              <w:t xml:space="preserve">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662DFB"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w:t>
            </w:r>
            <w:r w:rsidRPr="00C158CC">
              <w:rPr>
                <w:rFonts w:ascii="Times New Roman" w:eastAsia="Times New Roman" w:hAnsi="Times New Roman"/>
                <w:lang w:val="uk-UA" w:eastAsia="uk-UA"/>
              </w:rPr>
              <w:lastRenderedPageBreak/>
              <w:t xml:space="preserve">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 xml:space="preserve">У випадку перерахунку ціни за результатами електронного аукціону в </w:t>
            </w:r>
            <w:r w:rsidRPr="0032684D">
              <w:rPr>
                <w:rFonts w:ascii="Times New Roman" w:hAnsi="Times New Roman"/>
                <w:b/>
                <w:bCs/>
                <w:szCs w:val="24"/>
                <w:lang w:val="uk-UA"/>
              </w:rPr>
              <w:lastRenderedPageBreak/>
              <w:t>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662DFB"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w:t>
      </w:r>
      <w:proofErr w:type="spellStart"/>
      <w:r w:rsidRPr="001532D1">
        <w:rPr>
          <w:rFonts w:ascii="Times New Roman" w:hAnsi="Times New Roman"/>
          <w:sz w:val="24"/>
          <w:szCs w:val="24"/>
          <w:lang w:val="uk-UA"/>
        </w:rPr>
        <w:t>Проєкт</w:t>
      </w:r>
      <w:proofErr w:type="spellEnd"/>
      <w:r w:rsidRPr="001532D1">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 xml:space="preserve">Перелік документів, які повинен надати переможець закупівлі для укладання договору про </w:t>
      </w:r>
      <w:r w:rsidR="00900F9D">
        <w:rPr>
          <w:rFonts w:ascii="Times New Roman" w:hAnsi="Times New Roman"/>
          <w:sz w:val="24"/>
          <w:szCs w:val="24"/>
          <w:lang w:val="uk-UA" w:eastAsia="ru-RU"/>
        </w:rPr>
        <w:t>надання послуг</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1D2A4E"/>
    <w:sectPr w:rsidR="00CC343D" w:rsidSect="00D25FA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4E" w:rsidRDefault="001D2A4E">
      <w:pPr>
        <w:spacing w:after="0" w:line="240" w:lineRule="auto"/>
      </w:pPr>
      <w:r>
        <w:separator/>
      </w:r>
    </w:p>
  </w:endnote>
  <w:endnote w:type="continuationSeparator" w:id="0">
    <w:p w:rsidR="001D2A4E" w:rsidRDefault="001D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4E" w:rsidRDefault="001D2A4E">
      <w:pPr>
        <w:spacing w:after="0" w:line="240" w:lineRule="auto"/>
      </w:pPr>
      <w:r>
        <w:separator/>
      </w:r>
    </w:p>
  </w:footnote>
  <w:footnote w:type="continuationSeparator" w:id="0">
    <w:p w:rsidR="001D2A4E" w:rsidRDefault="001D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662DFB">
      <w:rPr>
        <w:rFonts w:ascii="Times New Roman" w:hAnsi="Times New Roman"/>
        <w:noProof/>
        <w:sz w:val="24"/>
      </w:rPr>
      <w:t>4</w:t>
    </w:r>
    <w:r w:rsidRPr="00D25FA6">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74F88"/>
    <w:rsid w:val="000D3600"/>
    <w:rsid w:val="0010230E"/>
    <w:rsid w:val="00120FDB"/>
    <w:rsid w:val="00123977"/>
    <w:rsid w:val="001453EA"/>
    <w:rsid w:val="0014674F"/>
    <w:rsid w:val="001625E6"/>
    <w:rsid w:val="00175DCA"/>
    <w:rsid w:val="001A5E33"/>
    <w:rsid w:val="001A66D3"/>
    <w:rsid w:val="001D2A4E"/>
    <w:rsid w:val="00213CE9"/>
    <w:rsid w:val="00273317"/>
    <w:rsid w:val="0029595D"/>
    <w:rsid w:val="002B3D38"/>
    <w:rsid w:val="002D245C"/>
    <w:rsid w:val="002F34D0"/>
    <w:rsid w:val="00336221"/>
    <w:rsid w:val="00341FBE"/>
    <w:rsid w:val="003461A4"/>
    <w:rsid w:val="00351F44"/>
    <w:rsid w:val="00384CBF"/>
    <w:rsid w:val="00390B15"/>
    <w:rsid w:val="003B49D2"/>
    <w:rsid w:val="003B65A8"/>
    <w:rsid w:val="003C7D49"/>
    <w:rsid w:val="003D52E7"/>
    <w:rsid w:val="003D7AC9"/>
    <w:rsid w:val="004061A9"/>
    <w:rsid w:val="00460B0A"/>
    <w:rsid w:val="004947E7"/>
    <w:rsid w:val="004947F3"/>
    <w:rsid w:val="00521401"/>
    <w:rsid w:val="00535552"/>
    <w:rsid w:val="0053576A"/>
    <w:rsid w:val="00563429"/>
    <w:rsid w:val="0057222B"/>
    <w:rsid w:val="005D761A"/>
    <w:rsid w:val="005F5180"/>
    <w:rsid w:val="00662DFB"/>
    <w:rsid w:val="00694317"/>
    <w:rsid w:val="006C69E1"/>
    <w:rsid w:val="007618AD"/>
    <w:rsid w:val="00763F6A"/>
    <w:rsid w:val="007A3AC2"/>
    <w:rsid w:val="00846D6C"/>
    <w:rsid w:val="00873447"/>
    <w:rsid w:val="00880095"/>
    <w:rsid w:val="008831F5"/>
    <w:rsid w:val="008929D0"/>
    <w:rsid w:val="008B685C"/>
    <w:rsid w:val="008C173D"/>
    <w:rsid w:val="008E30E9"/>
    <w:rsid w:val="00900F9D"/>
    <w:rsid w:val="0091416F"/>
    <w:rsid w:val="009210ED"/>
    <w:rsid w:val="00956CFC"/>
    <w:rsid w:val="00982C36"/>
    <w:rsid w:val="00982CCF"/>
    <w:rsid w:val="00A0067E"/>
    <w:rsid w:val="00A10966"/>
    <w:rsid w:val="00A34B15"/>
    <w:rsid w:val="00A435AF"/>
    <w:rsid w:val="00A83FF7"/>
    <w:rsid w:val="00AC29D7"/>
    <w:rsid w:val="00AC5B50"/>
    <w:rsid w:val="00AE0504"/>
    <w:rsid w:val="00AE3FBE"/>
    <w:rsid w:val="00B33F03"/>
    <w:rsid w:val="00B45039"/>
    <w:rsid w:val="00B476F7"/>
    <w:rsid w:val="00B867E7"/>
    <w:rsid w:val="00B86E9C"/>
    <w:rsid w:val="00B9054C"/>
    <w:rsid w:val="00BA0EC0"/>
    <w:rsid w:val="00BB5272"/>
    <w:rsid w:val="00C06E33"/>
    <w:rsid w:val="00C77BD8"/>
    <w:rsid w:val="00CC2233"/>
    <w:rsid w:val="00CE5A9B"/>
    <w:rsid w:val="00CE5D4A"/>
    <w:rsid w:val="00CF1A69"/>
    <w:rsid w:val="00DA67AC"/>
    <w:rsid w:val="00DC674C"/>
    <w:rsid w:val="00DD31F6"/>
    <w:rsid w:val="00E8518C"/>
    <w:rsid w:val="00E95188"/>
    <w:rsid w:val="00E97A8E"/>
    <w:rsid w:val="00EB361C"/>
    <w:rsid w:val="00EB65F1"/>
    <w:rsid w:val="00EC6CCC"/>
    <w:rsid w:val="00EE1968"/>
    <w:rsid w:val="00EE2B26"/>
    <w:rsid w:val="00F16B3A"/>
    <w:rsid w:val="00F322B1"/>
    <w:rsid w:val="00F41AD2"/>
    <w:rsid w:val="00F427DB"/>
    <w:rsid w:val="00F63F8E"/>
    <w:rsid w:val="00F95694"/>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BB6D"/>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2604</Words>
  <Characters>14847</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17</cp:revision>
  <cp:lastPrinted>2020-06-19T14:28:00Z</cp:lastPrinted>
  <dcterms:created xsi:type="dcterms:W3CDTF">2022-05-20T11:23:00Z</dcterms:created>
  <dcterms:modified xsi:type="dcterms:W3CDTF">2022-06-24T12:26:00Z</dcterms:modified>
</cp:coreProperties>
</file>