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20" w:rsidRPr="00167BE2" w:rsidRDefault="00DB4236" w:rsidP="003A6220">
      <w:pPr>
        <w:ind w:left="6372"/>
        <w:rPr>
          <w:rFonts w:eastAsia="Calibri"/>
          <w:b/>
          <w:bCs/>
          <w:sz w:val="22"/>
          <w:szCs w:val="22"/>
          <w:lang w:val="uk-UA"/>
        </w:rPr>
      </w:pPr>
      <w:r w:rsidRPr="00167BE2">
        <w:rPr>
          <w:rFonts w:ascii="TimesNewRomanPS-BoldMT" w:hAnsi="TimesNewRomanPS-BoldMT" w:cs="TimesNewRomanPS-BoldMT"/>
          <w:b/>
          <w:bCs/>
          <w:color w:val="auto"/>
          <w:sz w:val="22"/>
          <w:szCs w:val="22"/>
          <w:lang w:val="uk-UA"/>
        </w:rPr>
        <w:t xml:space="preserve">  </w:t>
      </w:r>
      <w:r w:rsidR="003A6220" w:rsidRPr="00167BE2">
        <w:rPr>
          <w:rFonts w:eastAsia="Calibri"/>
          <w:b/>
          <w:bCs/>
          <w:sz w:val="22"/>
          <w:szCs w:val="22"/>
          <w:lang w:val="uk-UA"/>
        </w:rPr>
        <w:t>Додаток 2</w:t>
      </w:r>
    </w:p>
    <w:p w:rsidR="003A6220" w:rsidRPr="003A6220" w:rsidRDefault="003A6220" w:rsidP="003A6220">
      <w:pPr>
        <w:widowControl/>
        <w:suppressAutoHyphens w:val="0"/>
        <w:autoSpaceDE/>
        <w:autoSpaceDN/>
        <w:adjustRightInd/>
        <w:ind w:left="6372" w:firstLine="0"/>
        <w:rPr>
          <w:rFonts w:eastAsia="Calibri"/>
          <w:sz w:val="22"/>
          <w:szCs w:val="22"/>
          <w:lang w:val="uk-UA"/>
        </w:rPr>
      </w:pPr>
      <w:r w:rsidRPr="00167BE2">
        <w:rPr>
          <w:rFonts w:eastAsia="Calibri"/>
          <w:sz w:val="22"/>
          <w:szCs w:val="22"/>
          <w:lang w:val="uk-UA"/>
        </w:rPr>
        <w:t xml:space="preserve">  </w:t>
      </w:r>
      <w:r w:rsidRPr="003A6220">
        <w:rPr>
          <w:rFonts w:eastAsia="Calibri"/>
          <w:sz w:val="22"/>
          <w:szCs w:val="22"/>
          <w:lang w:val="uk-UA"/>
        </w:rPr>
        <w:t>до тендерної документації</w:t>
      </w:r>
    </w:p>
    <w:p w:rsidR="00DB4236" w:rsidRPr="00167BE2" w:rsidRDefault="00DB4236" w:rsidP="00DB4236">
      <w:pPr>
        <w:widowControl/>
        <w:suppressAutoHyphens w:val="0"/>
        <w:ind w:left="7200" w:firstLine="0"/>
        <w:jc w:val="left"/>
        <w:rPr>
          <w:rFonts w:ascii="TimesNewRomanPS-BoldMT" w:hAnsi="TimesNewRomanPS-BoldMT" w:cs="TimesNewRomanPS-BoldMT"/>
          <w:b/>
          <w:bCs/>
          <w:color w:val="auto"/>
          <w:sz w:val="22"/>
          <w:szCs w:val="22"/>
          <w:lang w:val="uk-UA"/>
        </w:rPr>
      </w:pPr>
    </w:p>
    <w:p w:rsidR="00C40557" w:rsidRPr="00167BE2" w:rsidRDefault="00DB4236" w:rsidP="00DB4236">
      <w:pPr>
        <w:pStyle w:val="a3"/>
        <w:jc w:val="center"/>
        <w:rPr>
          <w:b/>
          <w:sz w:val="22"/>
          <w:szCs w:val="22"/>
        </w:rPr>
      </w:pPr>
      <w:r w:rsidRPr="00167BE2">
        <w:rPr>
          <w:b/>
          <w:sz w:val="22"/>
          <w:szCs w:val="22"/>
        </w:rPr>
        <w:t>ТЕХНІЧН</w:t>
      </w:r>
      <w:r w:rsidR="00C40557" w:rsidRPr="00167BE2">
        <w:rPr>
          <w:b/>
          <w:sz w:val="22"/>
          <w:szCs w:val="22"/>
        </w:rPr>
        <w:t>А СПЕЦ</w:t>
      </w:r>
      <w:r w:rsidR="00CD34BB" w:rsidRPr="00167BE2">
        <w:rPr>
          <w:b/>
          <w:sz w:val="22"/>
          <w:szCs w:val="22"/>
        </w:rPr>
        <w:t>И</w:t>
      </w:r>
      <w:r w:rsidR="00C40557" w:rsidRPr="00167BE2">
        <w:rPr>
          <w:b/>
          <w:sz w:val="22"/>
          <w:szCs w:val="22"/>
        </w:rPr>
        <w:t>ФІКАЦІЯ</w:t>
      </w:r>
    </w:p>
    <w:p w:rsidR="00DB4236" w:rsidRPr="00167BE2" w:rsidRDefault="00C40557" w:rsidP="00DB4236">
      <w:pPr>
        <w:pStyle w:val="a3"/>
        <w:jc w:val="center"/>
        <w:rPr>
          <w:b/>
          <w:sz w:val="22"/>
          <w:szCs w:val="22"/>
        </w:rPr>
      </w:pPr>
      <w:r w:rsidRPr="00167BE2">
        <w:rPr>
          <w:b/>
          <w:sz w:val="22"/>
          <w:szCs w:val="22"/>
        </w:rPr>
        <w:t>Технічні, функціональні та якісні характеристики товарів, що закуповуються</w:t>
      </w:r>
    </w:p>
    <w:p w:rsidR="00DB4236" w:rsidRPr="00167BE2" w:rsidRDefault="00DB4236" w:rsidP="00C40557">
      <w:pPr>
        <w:numPr>
          <w:ilvl w:val="0"/>
          <w:numId w:val="1"/>
        </w:numPr>
        <w:ind w:left="0" w:firstLine="360"/>
        <w:rPr>
          <w:sz w:val="22"/>
          <w:szCs w:val="22"/>
          <w:lang w:val="uk-UA"/>
        </w:rPr>
      </w:pPr>
      <w:r w:rsidRPr="00167BE2">
        <w:rPr>
          <w:sz w:val="22"/>
          <w:szCs w:val="22"/>
          <w:lang w:val="uk-UA"/>
        </w:rPr>
        <w:t>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w:t>
      </w:r>
    </w:p>
    <w:tbl>
      <w:tblPr>
        <w:tblW w:w="0" w:type="auto"/>
        <w:jc w:val="center"/>
        <w:tblLook w:val="0000" w:firstRow="0" w:lastRow="0" w:firstColumn="0" w:lastColumn="0" w:noHBand="0" w:noVBand="0"/>
      </w:tblPr>
      <w:tblGrid>
        <w:gridCol w:w="4205"/>
        <w:gridCol w:w="1407"/>
        <w:gridCol w:w="2797"/>
        <w:gridCol w:w="1446"/>
      </w:tblGrid>
      <w:tr w:rsidR="00DB4236" w:rsidRPr="00167BE2" w:rsidTr="00670DB6">
        <w:trPr>
          <w:trHeight w:val="615"/>
          <w:jc w:val="center"/>
        </w:trPr>
        <w:tc>
          <w:tcPr>
            <w:tcW w:w="4291" w:type="dxa"/>
            <w:tcBorders>
              <w:top w:val="single" w:sz="4" w:space="0" w:color="000000"/>
              <w:left w:val="single" w:sz="4" w:space="0" w:color="000000"/>
              <w:bottom w:val="single" w:sz="4" w:space="0" w:color="000000"/>
              <w:right w:val="nil"/>
            </w:tcBorders>
            <w:vAlign w:val="center"/>
          </w:tcPr>
          <w:p w:rsidR="00DB4236" w:rsidRPr="00167BE2" w:rsidRDefault="00DB4236" w:rsidP="00670DB6">
            <w:pPr>
              <w:snapToGrid w:val="0"/>
              <w:jc w:val="center"/>
              <w:rPr>
                <w:b/>
                <w:shd w:val="clear" w:color="auto" w:fill="FFFFFF"/>
                <w:lang w:val="uk-UA"/>
              </w:rPr>
            </w:pPr>
            <w:r w:rsidRPr="00167BE2">
              <w:rPr>
                <w:b/>
                <w:sz w:val="22"/>
                <w:szCs w:val="22"/>
                <w:shd w:val="clear" w:color="auto" w:fill="FFFFFF"/>
                <w:lang w:val="uk-UA"/>
              </w:rPr>
              <w:t>Найменування предмета закупівлі</w:t>
            </w:r>
          </w:p>
        </w:tc>
        <w:tc>
          <w:tcPr>
            <w:tcW w:w="1417" w:type="dxa"/>
            <w:tcBorders>
              <w:top w:val="single" w:sz="4" w:space="0" w:color="000000"/>
              <w:left w:val="single" w:sz="4" w:space="0" w:color="000000"/>
              <w:bottom w:val="single" w:sz="4" w:space="0" w:color="000000"/>
              <w:right w:val="nil"/>
            </w:tcBorders>
            <w:vAlign w:val="center"/>
          </w:tcPr>
          <w:p w:rsidR="00DB4236" w:rsidRPr="00167BE2" w:rsidRDefault="00DB4236" w:rsidP="00670DB6">
            <w:pPr>
              <w:snapToGrid w:val="0"/>
              <w:jc w:val="center"/>
              <w:rPr>
                <w:b/>
                <w:shd w:val="clear" w:color="auto" w:fill="FFFFFF"/>
                <w:lang w:val="uk-UA"/>
              </w:rPr>
            </w:pPr>
            <w:r w:rsidRPr="00167BE2">
              <w:rPr>
                <w:b/>
                <w:sz w:val="22"/>
                <w:szCs w:val="22"/>
                <w:shd w:val="clear" w:color="auto" w:fill="FFFFFF"/>
                <w:lang w:val="uk-UA"/>
              </w:rPr>
              <w:t>Одиниця виміру</w:t>
            </w:r>
          </w:p>
        </w:tc>
        <w:tc>
          <w:tcPr>
            <w:tcW w:w="2835" w:type="dxa"/>
            <w:tcBorders>
              <w:top w:val="single" w:sz="4" w:space="0" w:color="000000"/>
              <w:left w:val="single" w:sz="4" w:space="0" w:color="000000"/>
              <w:bottom w:val="single" w:sz="4" w:space="0" w:color="000000"/>
              <w:right w:val="single" w:sz="4" w:space="0" w:color="000000"/>
            </w:tcBorders>
            <w:vAlign w:val="center"/>
          </w:tcPr>
          <w:p w:rsidR="00DB4236" w:rsidRPr="00167BE2" w:rsidRDefault="00DB4236" w:rsidP="00670DB6">
            <w:pPr>
              <w:jc w:val="center"/>
              <w:rPr>
                <w:b/>
                <w:lang w:val="uk-UA"/>
              </w:rPr>
            </w:pPr>
            <w:r w:rsidRPr="00167BE2">
              <w:rPr>
                <w:b/>
                <w:sz w:val="22"/>
                <w:szCs w:val="22"/>
                <w:lang w:val="uk-UA"/>
              </w:rPr>
              <w:t>Відповідність стандарту</w:t>
            </w:r>
          </w:p>
        </w:tc>
        <w:tc>
          <w:tcPr>
            <w:tcW w:w="1455" w:type="dxa"/>
            <w:tcBorders>
              <w:top w:val="single" w:sz="4" w:space="0" w:color="000000"/>
              <w:left w:val="single" w:sz="4" w:space="0" w:color="000000"/>
              <w:bottom w:val="single" w:sz="4" w:space="0" w:color="000000"/>
              <w:right w:val="single" w:sz="4" w:space="0" w:color="000000"/>
            </w:tcBorders>
            <w:vAlign w:val="center"/>
          </w:tcPr>
          <w:p w:rsidR="00DB4236" w:rsidRPr="00167BE2" w:rsidRDefault="00DB4236" w:rsidP="00670DB6">
            <w:pPr>
              <w:snapToGrid w:val="0"/>
              <w:jc w:val="center"/>
              <w:rPr>
                <w:b/>
                <w:shd w:val="clear" w:color="auto" w:fill="FFFFFF"/>
                <w:lang w:val="uk-UA"/>
              </w:rPr>
            </w:pPr>
            <w:r w:rsidRPr="00167BE2">
              <w:rPr>
                <w:b/>
                <w:sz w:val="22"/>
                <w:szCs w:val="22"/>
                <w:shd w:val="clear" w:color="auto" w:fill="FFFFFF"/>
                <w:lang w:val="uk-UA"/>
              </w:rPr>
              <w:t>Кількість</w:t>
            </w:r>
          </w:p>
        </w:tc>
      </w:tr>
      <w:tr w:rsidR="00DB4236" w:rsidRPr="00167BE2" w:rsidTr="00670DB6">
        <w:trPr>
          <w:trHeight w:val="778"/>
          <w:jc w:val="center"/>
        </w:trPr>
        <w:tc>
          <w:tcPr>
            <w:tcW w:w="4291" w:type="dxa"/>
            <w:tcBorders>
              <w:top w:val="single" w:sz="4" w:space="0" w:color="000000"/>
              <w:left w:val="single" w:sz="4" w:space="0" w:color="000000"/>
              <w:bottom w:val="single" w:sz="4" w:space="0" w:color="auto"/>
              <w:right w:val="nil"/>
            </w:tcBorders>
          </w:tcPr>
          <w:p w:rsidR="00DB4236" w:rsidRPr="00167BE2" w:rsidRDefault="00DB4236" w:rsidP="00AA5AF4">
            <w:pPr>
              <w:ind w:hanging="2"/>
              <w:contextualSpacing/>
              <w:jc w:val="center"/>
              <w:rPr>
                <w:b/>
                <w:lang w:val="uk-UA"/>
              </w:rPr>
            </w:pPr>
            <w:r w:rsidRPr="00167BE2">
              <w:rPr>
                <w:b/>
                <w:iCs/>
                <w:sz w:val="22"/>
                <w:szCs w:val="22"/>
                <w:lang w:val="uk-UA"/>
              </w:rPr>
              <w:t xml:space="preserve">09120000-6 </w:t>
            </w:r>
            <w:r w:rsidRPr="00167BE2">
              <w:rPr>
                <w:b/>
                <w:sz w:val="22"/>
                <w:szCs w:val="22"/>
                <w:lang w:val="uk-UA"/>
              </w:rPr>
              <w:t>Газове паливо</w:t>
            </w:r>
          </w:p>
          <w:p w:rsidR="00DB4236" w:rsidRPr="00167BE2" w:rsidRDefault="00DB4236" w:rsidP="00AA5AF4">
            <w:pPr>
              <w:ind w:hanging="2"/>
              <w:contextualSpacing/>
              <w:jc w:val="center"/>
              <w:rPr>
                <w:lang w:val="uk-UA" w:eastAsia="uk-UA"/>
              </w:rPr>
            </w:pPr>
            <w:r w:rsidRPr="00167BE2">
              <w:rPr>
                <w:sz w:val="22"/>
                <w:szCs w:val="22"/>
                <w:shd w:val="clear" w:color="auto" w:fill="FDFEFD"/>
                <w:lang w:val="uk-UA"/>
              </w:rPr>
              <w:t>(</w:t>
            </w:r>
            <w:r w:rsidR="0023748A" w:rsidRPr="00167BE2">
              <w:rPr>
                <w:sz w:val="22"/>
                <w:szCs w:val="22"/>
                <w:shd w:val="clear" w:color="auto" w:fill="FDFEFD"/>
                <w:lang w:val="uk-UA"/>
              </w:rPr>
              <w:t>П</w:t>
            </w:r>
            <w:r w:rsidRPr="00167BE2">
              <w:rPr>
                <w:sz w:val="22"/>
                <w:szCs w:val="22"/>
                <w:shd w:val="clear" w:color="auto" w:fill="FDFEFD"/>
                <w:lang w:val="uk-UA"/>
              </w:rPr>
              <w:t>РИРОДНИЙ ГАЗ)</w:t>
            </w:r>
          </w:p>
        </w:tc>
        <w:tc>
          <w:tcPr>
            <w:tcW w:w="1417" w:type="dxa"/>
            <w:tcBorders>
              <w:top w:val="single" w:sz="4" w:space="0" w:color="000000"/>
              <w:left w:val="single" w:sz="4" w:space="0" w:color="000000"/>
              <w:bottom w:val="single" w:sz="4" w:space="0" w:color="000000"/>
              <w:right w:val="nil"/>
            </w:tcBorders>
            <w:vAlign w:val="center"/>
          </w:tcPr>
          <w:p w:rsidR="00DB4236" w:rsidRPr="00167BE2" w:rsidRDefault="00DB4236" w:rsidP="00670DB6">
            <w:pPr>
              <w:snapToGrid w:val="0"/>
              <w:jc w:val="center"/>
              <w:rPr>
                <w:shd w:val="clear" w:color="auto" w:fill="FFFFFF"/>
                <w:lang w:val="uk-UA"/>
              </w:rPr>
            </w:pPr>
            <w:proofErr w:type="spellStart"/>
            <w:r w:rsidRPr="00167BE2">
              <w:rPr>
                <w:sz w:val="22"/>
                <w:szCs w:val="22"/>
                <w:shd w:val="clear" w:color="auto" w:fill="FFFFFF"/>
                <w:lang w:val="uk-UA"/>
              </w:rPr>
              <w:t>куб.м</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AA5AF4" w:rsidRPr="00AA5AF4" w:rsidRDefault="00AA5AF4" w:rsidP="00AA5AF4">
            <w:pPr>
              <w:jc w:val="center"/>
              <w:rPr>
                <w:sz w:val="22"/>
                <w:szCs w:val="22"/>
                <w:lang w:val="uk-UA"/>
              </w:rPr>
            </w:pPr>
            <w:r w:rsidRPr="00AA5AF4">
              <w:rPr>
                <w:sz w:val="22"/>
                <w:szCs w:val="22"/>
                <w:lang w:val="uk-UA"/>
              </w:rPr>
              <w:t>Якість та інші фізико-хімічні характеристики газу, який передається Споживачеві в пунктах призначення, має відповідати вимогам, установленим державними стандартами та технічним умовам щодо якості.</w:t>
            </w:r>
          </w:p>
          <w:p w:rsidR="00DB4236" w:rsidRPr="00167BE2" w:rsidRDefault="00AA5AF4" w:rsidP="00AA5AF4">
            <w:pPr>
              <w:jc w:val="center"/>
              <w:rPr>
                <w:lang w:val="uk-UA"/>
              </w:rPr>
            </w:pPr>
            <w:r w:rsidRPr="00AA5AF4">
              <w:rPr>
                <w:sz w:val="22"/>
                <w:szCs w:val="22"/>
                <w:lang w:val="uk-UA"/>
              </w:rPr>
              <w:t>(ДСТУ ISO 6976:2009)</w:t>
            </w:r>
          </w:p>
        </w:tc>
        <w:tc>
          <w:tcPr>
            <w:tcW w:w="1455" w:type="dxa"/>
            <w:tcBorders>
              <w:top w:val="single" w:sz="4" w:space="0" w:color="000000"/>
              <w:left w:val="single" w:sz="4" w:space="0" w:color="000000"/>
              <w:bottom w:val="single" w:sz="4" w:space="0" w:color="000000"/>
              <w:right w:val="single" w:sz="4" w:space="0" w:color="000000"/>
            </w:tcBorders>
            <w:vAlign w:val="center"/>
          </w:tcPr>
          <w:p w:rsidR="00DB4236" w:rsidRPr="005F7CAC" w:rsidRDefault="005F7CAC" w:rsidP="00035190">
            <w:pPr>
              <w:snapToGrid w:val="0"/>
              <w:jc w:val="center"/>
              <w:rPr>
                <w:b/>
                <w:shd w:val="clear" w:color="auto" w:fill="FFFFFF"/>
                <w:lang w:val="en-US"/>
              </w:rPr>
            </w:pPr>
            <w:r>
              <w:rPr>
                <w:b/>
                <w:color w:val="auto"/>
                <w:sz w:val="22"/>
                <w:szCs w:val="22"/>
                <w:bdr w:val="none" w:sz="0" w:space="0" w:color="auto" w:frame="1"/>
                <w:lang w:val="en-US"/>
              </w:rPr>
              <w:t>300 000</w:t>
            </w:r>
          </w:p>
        </w:tc>
      </w:tr>
    </w:tbl>
    <w:p w:rsidR="00DB4236" w:rsidRPr="00167BE2" w:rsidRDefault="00DB4236" w:rsidP="00DB4236">
      <w:pPr>
        <w:pStyle w:val="31"/>
        <w:spacing w:after="0"/>
        <w:ind w:left="0" w:firstLine="709"/>
        <w:jc w:val="both"/>
        <w:rPr>
          <w:rFonts w:ascii="Times New Roman" w:hAnsi="Times New Roman" w:cs="Times New Roman"/>
          <w:color w:val="FF0000"/>
          <w:sz w:val="22"/>
          <w:szCs w:val="22"/>
          <w:lang w:val="uk-UA"/>
        </w:rPr>
      </w:pPr>
    </w:p>
    <w:p w:rsidR="00DB4236" w:rsidRPr="00167BE2" w:rsidRDefault="00DB4236" w:rsidP="00DB4236">
      <w:pPr>
        <w:numPr>
          <w:ilvl w:val="0"/>
          <w:numId w:val="1"/>
        </w:numPr>
        <w:ind w:left="0" w:firstLine="360"/>
        <w:rPr>
          <w:sz w:val="22"/>
          <w:szCs w:val="22"/>
          <w:lang w:val="uk-UA"/>
        </w:rPr>
      </w:pPr>
      <w:r w:rsidRPr="00167BE2">
        <w:rPr>
          <w:sz w:val="22"/>
          <w:szCs w:val="22"/>
          <w:lang w:val="uk-UA"/>
        </w:rPr>
        <w:t>Технічні,</w:t>
      </w:r>
      <w:r w:rsidR="00C40557" w:rsidRPr="00167BE2">
        <w:rPr>
          <w:sz w:val="22"/>
          <w:szCs w:val="22"/>
          <w:lang w:val="uk-UA"/>
        </w:rPr>
        <w:t xml:space="preserve"> функціональні та </w:t>
      </w:r>
      <w:r w:rsidRPr="00167BE2">
        <w:rPr>
          <w:sz w:val="22"/>
          <w:szCs w:val="22"/>
          <w:lang w:val="uk-UA"/>
        </w:rPr>
        <w:t>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rsidR="003A6220" w:rsidRPr="00167BE2" w:rsidRDefault="00DB4236" w:rsidP="003A6220">
      <w:pPr>
        <w:ind w:firstLine="709"/>
        <w:textAlignment w:val="baseline"/>
        <w:rPr>
          <w:sz w:val="22"/>
          <w:szCs w:val="22"/>
          <w:lang w:val="uk-UA"/>
        </w:rPr>
      </w:pPr>
      <w:r w:rsidRPr="00167BE2">
        <w:rPr>
          <w:sz w:val="22"/>
          <w:szCs w:val="22"/>
          <w:lang w:val="uk-UA"/>
        </w:rPr>
        <w:tab/>
        <w:t xml:space="preserve"> </w:t>
      </w:r>
      <w:r w:rsidR="003A6220" w:rsidRPr="00167BE2">
        <w:rPr>
          <w:sz w:val="22"/>
          <w:szCs w:val="22"/>
          <w:lang w:val="uk-UA"/>
        </w:rPr>
        <w:t xml:space="preserve">Умови постачання природного газу замовнику повинні відповідати наступним нормативно-правовим актам: </w:t>
      </w:r>
    </w:p>
    <w:p w:rsidR="003A6220" w:rsidRPr="00167BE2" w:rsidRDefault="003A6220" w:rsidP="003A6220">
      <w:pPr>
        <w:ind w:firstLine="709"/>
        <w:textAlignment w:val="baseline"/>
        <w:rPr>
          <w:sz w:val="22"/>
          <w:szCs w:val="22"/>
          <w:lang w:val="uk-UA"/>
        </w:rPr>
      </w:pPr>
      <w:r w:rsidRPr="00167BE2">
        <w:rPr>
          <w:sz w:val="22"/>
          <w:szCs w:val="22"/>
          <w:lang w:val="uk-UA"/>
        </w:rPr>
        <w:t>- Закон України від 09.04.2015 № 329-VIII "Про ринок природного газу";</w:t>
      </w:r>
    </w:p>
    <w:p w:rsidR="003A6220" w:rsidRPr="00167BE2" w:rsidRDefault="003A6220" w:rsidP="003A6220">
      <w:pPr>
        <w:ind w:firstLine="709"/>
        <w:textAlignment w:val="baseline"/>
        <w:rPr>
          <w:sz w:val="22"/>
          <w:szCs w:val="22"/>
          <w:lang w:val="uk-UA"/>
        </w:rPr>
      </w:pPr>
      <w:r w:rsidRPr="00167BE2">
        <w:rPr>
          <w:sz w:val="22"/>
          <w:szCs w:val="22"/>
          <w:lang w:val="uk-UA"/>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3A6220" w:rsidRPr="00167BE2" w:rsidRDefault="003A6220" w:rsidP="003A6220">
      <w:pPr>
        <w:ind w:firstLine="709"/>
        <w:textAlignment w:val="baseline"/>
        <w:rPr>
          <w:sz w:val="22"/>
          <w:szCs w:val="22"/>
          <w:lang w:val="uk-UA"/>
        </w:rPr>
      </w:pPr>
      <w:r w:rsidRPr="00167BE2">
        <w:rPr>
          <w:sz w:val="22"/>
          <w:szCs w:val="22"/>
          <w:lang w:val="uk-UA"/>
        </w:rPr>
        <w:t>- Постанова Національної комісії, що здійснює державне регулювання у сферах енергетики та комунальних послуг від 30.09.2015 № 2497 «Про затвердження Типового догово</w:t>
      </w:r>
      <w:bookmarkStart w:id="0" w:name="_GoBack"/>
      <w:bookmarkEnd w:id="0"/>
      <w:r w:rsidRPr="00167BE2">
        <w:rPr>
          <w:sz w:val="22"/>
          <w:szCs w:val="22"/>
          <w:lang w:val="uk-UA"/>
        </w:rPr>
        <w:t>ру транспортування природного газу»;</w:t>
      </w:r>
    </w:p>
    <w:p w:rsidR="003A6220" w:rsidRPr="00167BE2" w:rsidRDefault="003A6220" w:rsidP="003A6220">
      <w:pPr>
        <w:ind w:firstLine="709"/>
        <w:textAlignment w:val="baseline"/>
        <w:rPr>
          <w:sz w:val="22"/>
          <w:szCs w:val="22"/>
          <w:lang w:val="uk-UA"/>
        </w:rPr>
      </w:pPr>
      <w:r w:rsidRPr="00167BE2">
        <w:rPr>
          <w:sz w:val="22"/>
          <w:szCs w:val="22"/>
          <w:lang w:val="uk-UA"/>
        </w:rPr>
        <w:t>- Кодекс газорозподільних систем, затверджений Постановою НКРЕКП від 30.09.15 № 2494;</w:t>
      </w:r>
    </w:p>
    <w:p w:rsidR="003A6220" w:rsidRPr="00167BE2" w:rsidRDefault="003A6220" w:rsidP="003A6220">
      <w:pPr>
        <w:ind w:firstLine="709"/>
        <w:textAlignment w:val="baseline"/>
        <w:rPr>
          <w:sz w:val="22"/>
          <w:szCs w:val="22"/>
          <w:lang w:val="uk-UA"/>
        </w:rPr>
      </w:pPr>
      <w:r w:rsidRPr="00167BE2">
        <w:rPr>
          <w:sz w:val="22"/>
          <w:szCs w:val="22"/>
          <w:lang w:val="uk-UA"/>
        </w:rPr>
        <w:t>- Кодекс газотранспортної системи, затверджений Постановою НКРЕКП від 30.09.15 № 2493;</w:t>
      </w:r>
    </w:p>
    <w:p w:rsidR="003A6220" w:rsidRPr="00167BE2" w:rsidRDefault="003A6220" w:rsidP="003A6220">
      <w:pPr>
        <w:ind w:firstLine="709"/>
        <w:textAlignment w:val="baseline"/>
        <w:rPr>
          <w:sz w:val="22"/>
          <w:szCs w:val="22"/>
          <w:lang w:val="uk-UA"/>
        </w:rPr>
      </w:pPr>
      <w:r w:rsidRPr="00167BE2">
        <w:rPr>
          <w:sz w:val="22"/>
          <w:szCs w:val="22"/>
          <w:lang w:val="uk-UA"/>
        </w:rPr>
        <w:t>- іншим чинним нормативно-правовим актам, прийнятим на виконання Закону України «Про ринок природного газу».</w:t>
      </w:r>
    </w:p>
    <w:p w:rsidR="003A6220" w:rsidRPr="00167BE2" w:rsidRDefault="003A6220" w:rsidP="003A6220">
      <w:pPr>
        <w:ind w:firstLine="709"/>
        <w:textAlignment w:val="baseline"/>
        <w:rPr>
          <w:sz w:val="22"/>
          <w:szCs w:val="22"/>
          <w:lang w:val="uk-UA"/>
        </w:rPr>
      </w:pPr>
      <w:r w:rsidRPr="00167BE2">
        <w:rPr>
          <w:sz w:val="22"/>
          <w:szCs w:val="22"/>
          <w:lang w:val="uk-UA"/>
        </w:rPr>
        <w:t>6. Наявність ліцензії на постачання природного газу.</w:t>
      </w:r>
    </w:p>
    <w:p w:rsidR="003A6220" w:rsidRPr="00167BE2" w:rsidRDefault="003A6220" w:rsidP="003A6220">
      <w:pPr>
        <w:ind w:firstLine="709"/>
        <w:textAlignment w:val="baseline"/>
        <w:rPr>
          <w:sz w:val="22"/>
          <w:szCs w:val="22"/>
          <w:lang w:val="uk-UA"/>
        </w:rPr>
      </w:pPr>
      <w:r w:rsidRPr="00167BE2">
        <w:rPr>
          <w:sz w:val="22"/>
          <w:szCs w:val="22"/>
          <w:lang w:val="uk-UA"/>
        </w:rPr>
        <w:t>7. 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3A6220" w:rsidRPr="00167BE2" w:rsidRDefault="003A6220" w:rsidP="003A6220">
      <w:pPr>
        <w:ind w:firstLine="709"/>
        <w:textAlignment w:val="baseline"/>
        <w:rPr>
          <w:sz w:val="22"/>
          <w:szCs w:val="22"/>
          <w:lang w:val="uk-UA"/>
        </w:rPr>
      </w:pPr>
      <w:r w:rsidRPr="00167BE2">
        <w:rPr>
          <w:sz w:val="22"/>
          <w:szCs w:val="22"/>
          <w:lang w:val="uk-UA"/>
        </w:rPr>
        <w:t xml:space="preserve">8.Документи, які учасник повинен надати для підтвердження технічних та якісних характеристик предмета закупівлі при подачі тендерної пропозиції: </w:t>
      </w:r>
    </w:p>
    <w:p w:rsidR="003A6220" w:rsidRPr="00167BE2" w:rsidRDefault="003A6220" w:rsidP="003A6220">
      <w:pPr>
        <w:ind w:firstLine="709"/>
        <w:textAlignment w:val="baseline"/>
        <w:rPr>
          <w:sz w:val="22"/>
          <w:szCs w:val="22"/>
          <w:lang w:val="uk-UA"/>
        </w:rPr>
      </w:pPr>
      <w:r w:rsidRPr="00167BE2">
        <w:rPr>
          <w:sz w:val="22"/>
          <w:szCs w:val="22"/>
          <w:lang w:val="uk-UA"/>
        </w:rPr>
        <w:t>- Лист-згода учасника з технічними, якісними та кількісними характеристиками предмета закупівлі;</w:t>
      </w:r>
    </w:p>
    <w:p w:rsidR="003A6220" w:rsidRPr="00167BE2" w:rsidRDefault="003A6220" w:rsidP="003A6220">
      <w:pPr>
        <w:ind w:firstLine="709"/>
        <w:textAlignment w:val="baseline"/>
        <w:rPr>
          <w:sz w:val="22"/>
          <w:szCs w:val="22"/>
          <w:lang w:val="uk-UA"/>
        </w:rPr>
      </w:pPr>
      <w:r w:rsidRPr="00167BE2">
        <w:rPr>
          <w:sz w:val="22"/>
          <w:szCs w:val="22"/>
          <w:lang w:val="uk-UA"/>
        </w:rPr>
        <w:t xml:space="preserve">- довідка, складена учасником у довільній формі, в якій учасник гарантує застосування заходів із захисту довкілля. </w:t>
      </w:r>
    </w:p>
    <w:p w:rsidR="003A6220" w:rsidRPr="00167BE2" w:rsidRDefault="003A6220" w:rsidP="003A6220">
      <w:pPr>
        <w:ind w:firstLine="0"/>
        <w:textAlignment w:val="baseline"/>
        <w:rPr>
          <w:sz w:val="22"/>
          <w:szCs w:val="22"/>
          <w:lang w:val="uk-UA"/>
        </w:rPr>
      </w:pPr>
    </w:p>
    <w:p w:rsidR="00DB4236" w:rsidRPr="00167BE2" w:rsidRDefault="003A6220" w:rsidP="003A6220">
      <w:pPr>
        <w:ind w:firstLine="709"/>
        <w:textAlignment w:val="baseline"/>
        <w:rPr>
          <w:sz w:val="22"/>
          <w:szCs w:val="22"/>
          <w:lang w:val="uk-UA"/>
        </w:rPr>
      </w:pPr>
      <w:r w:rsidRPr="00167BE2">
        <w:rPr>
          <w:sz w:val="22"/>
          <w:szCs w:val="22"/>
          <w:lang w:val="uk-UA"/>
        </w:rPr>
        <w:t xml:space="preserve">Відповідно до ч. 2 ст. 12 Закону України «Про ринок природного газу» постачання природного газу здійснюється за цінами, що вільно встановлюються між постачальником та споживачем, крім випадків, передбачених цим Законом. Учасник має включати до ціни тендерної пропозиції вартість послуг, пов’язаних з постачанням газу до точки входу в газорозподільну систему, до якої підключено об’єкти замовника, а саме витрати щодо транспортування природного газу магістральними трубопроводами у відповідності з тарифами, що встановлені згідно постанов НКРЕКП, та не включати до ціни тендерної пропозиції вартість послуг з розподілу природного газу.  </w:t>
      </w:r>
    </w:p>
    <w:p w:rsidR="00DB4236" w:rsidRDefault="00DB4236" w:rsidP="00DB4236">
      <w:pPr>
        <w:numPr>
          <w:ilvl w:val="0"/>
          <w:numId w:val="1"/>
        </w:numPr>
        <w:ind w:left="0" w:firstLine="360"/>
        <w:textAlignment w:val="baseline"/>
        <w:rPr>
          <w:sz w:val="22"/>
          <w:szCs w:val="22"/>
          <w:lang w:val="uk-UA"/>
        </w:rPr>
      </w:pPr>
      <w:r w:rsidRPr="00167BE2">
        <w:rPr>
          <w:sz w:val="22"/>
          <w:szCs w:val="22"/>
          <w:lang w:val="uk-UA"/>
        </w:rPr>
        <w:t>Фізико-хімічні показники газу природного, який постачається Замовнику, повинні відповідати міждержавному ГОСТ 5542-87 «Гази горючі природні для промислового та комунально-побутового призначення», положенням Кодексу газотранспортної системи, затвердженого п</w:t>
      </w:r>
      <w:r w:rsidRPr="00167BE2">
        <w:rPr>
          <w:bCs/>
          <w:sz w:val="22"/>
          <w:szCs w:val="22"/>
          <w:lang w:val="uk-UA"/>
        </w:rPr>
        <w:t>остановою Національної комісії, що здійснює</w:t>
      </w:r>
      <w:r w:rsidRPr="00167BE2">
        <w:rPr>
          <w:sz w:val="22"/>
          <w:szCs w:val="22"/>
          <w:lang w:val="uk-UA"/>
        </w:rPr>
        <w:t xml:space="preserve"> </w:t>
      </w:r>
      <w:r w:rsidRPr="00167BE2">
        <w:rPr>
          <w:bCs/>
          <w:sz w:val="22"/>
          <w:szCs w:val="22"/>
          <w:lang w:val="uk-UA"/>
        </w:rPr>
        <w:t>державне регулювання</w:t>
      </w:r>
      <w:r w:rsidRPr="00167BE2">
        <w:rPr>
          <w:sz w:val="22"/>
          <w:szCs w:val="22"/>
          <w:lang w:val="uk-UA"/>
        </w:rPr>
        <w:t xml:space="preserve"> </w:t>
      </w:r>
      <w:r w:rsidRPr="00167BE2">
        <w:rPr>
          <w:bCs/>
          <w:sz w:val="22"/>
          <w:szCs w:val="22"/>
          <w:lang w:val="uk-UA"/>
        </w:rPr>
        <w:t xml:space="preserve">у сферах енергетики та комунальних </w:t>
      </w:r>
      <w:r w:rsidRPr="00167BE2">
        <w:rPr>
          <w:bCs/>
          <w:sz w:val="22"/>
          <w:szCs w:val="22"/>
          <w:lang w:val="uk-UA"/>
        </w:rPr>
        <w:lastRenderedPageBreak/>
        <w:t>послуг від 30.09.2015 № 2493</w:t>
      </w:r>
      <w:r w:rsidRPr="00167BE2">
        <w:rPr>
          <w:sz w:val="22"/>
          <w:szCs w:val="22"/>
          <w:lang w:val="uk-UA"/>
        </w:rPr>
        <w:t>, Кодексу газорозподільних систем, затвердженого п</w:t>
      </w:r>
      <w:r w:rsidRPr="00167BE2">
        <w:rPr>
          <w:bCs/>
          <w:sz w:val="22"/>
          <w:szCs w:val="22"/>
          <w:lang w:val="uk-UA"/>
        </w:rPr>
        <w:t>остановою Національної комісії, що здійснює</w:t>
      </w:r>
      <w:r w:rsidRPr="00167BE2">
        <w:rPr>
          <w:sz w:val="22"/>
          <w:szCs w:val="22"/>
          <w:lang w:val="uk-UA"/>
        </w:rPr>
        <w:t xml:space="preserve"> </w:t>
      </w:r>
      <w:r w:rsidRPr="00167BE2">
        <w:rPr>
          <w:bCs/>
          <w:sz w:val="22"/>
          <w:szCs w:val="22"/>
          <w:lang w:val="uk-UA"/>
        </w:rPr>
        <w:t>державне регулювання</w:t>
      </w:r>
      <w:r w:rsidRPr="00167BE2">
        <w:rPr>
          <w:sz w:val="22"/>
          <w:szCs w:val="22"/>
          <w:lang w:val="uk-UA"/>
        </w:rPr>
        <w:t xml:space="preserve"> </w:t>
      </w:r>
      <w:r w:rsidRPr="00167BE2">
        <w:rPr>
          <w:bCs/>
          <w:sz w:val="22"/>
          <w:szCs w:val="22"/>
          <w:lang w:val="uk-UA"/>
        </w:rPr>
        <w:t>у сферах енергетики та комунальних послуг від 30.09.2015 № 2494</w:t>
      </w:r>
      <w:r w:rsidRPr="00167BE2">
        <w:rPr>
          <w:sz w:val="22"/>
          <w:szCs w:val="22"/>
          <w:lang w:val="uk-UA"/>
        </w:rPr>
        <w:t>.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170AD5" w:rsidRPr="00167BE2" w:rsidRDefault="00170AD5" w:rsidP="00170AD5">
      <w:pPr>
        <w:ind w:left="360" w:firstLine="0"/>
        <w:textAlignment w:val="baseline"/>
        <w:rPr>
          <w:sz w:val="22"/>
          <w:szCs w:val="22"/>
          <w:lang w:val="uk-UA"/>
        </w:rPr>
      </w:pPr>
    </w:p>
    <w:p w:rsidR="00DB4236" w:rsidRPr="00167BE2" w:rsidRDefault="00DB4236" w:rsidP="00DB4236">
      <w:pPr>
        <w:ind w:firstLine="709"/>
        <w:textAlignment w:val="baseline"/>
        <w:rPr>
          <w:sz w:val="22"/>
          <w:szCs w:val="22"/>
          <w:lang w:val="uk-UA"/>
        </w:rPr>
      </w:pPr>
    </w:p>
    <w:p w:rsidR="00DB4236" w:rsidRPr="005F7CAC" w:rsidRDefault="00DB4236" w:rsidP="005F7CAC">
      <w:pPr>
        <w:numPr>
          <w:ilvl w:val="0"/>
          <w:numId w:val="1"/>
        </w:numPr>
        <w:textAlignment w:val="baseline"/>
        <w:rPr>
          <w:sz w:val="22"/>
          <w:szCs w:val="22"/>
          <w:lang w:val="uk-UA"/>
        </w:rPr>
      </w:pPr>
      <w:r w:rsidRPr="00167BE2">
        <w:rPr>
          <w:sz w:val="22"/>
          <w:szCs w:val="22"/>
          <w:lang w:val="uk-UA"/>
        </w:rPr>
        <w:t xml:space="preserve">Орієнтовний графік постачання природного газу для </w:t>
      </w:r>
      <w:r w:rsidRPr="005F7CAC">
        <w:rPr>
          <w:sz w:val="22"/>
          <w:szCs w:val="22"/>
          <w:lang w:val="uk-UA"/>
        </w:rPr>
        <w:t>потреб К</w:t>
      </w:r>
      <w:r w:rsidR="005F7CAC" w:rsidRPr="005F7CAC">
        <w:rPr>
          <w:sz w:val="22"/>
          <w:szCs w:val="22"/>
          <w:lang w:val="uk-UA"/>
        </w:rPr>
        <w:t>НП «ХМЕЛЬНИЦЬКИЙ</w:t>
      </w:r>
      <w:r w:rsidR="005F7CAC">
        <w:rPr>
          <w:sz w:val="22"/>
          <w:szCs w:val="22"/>
          <w:lang w:val="uk-UA"/>
        </w:rPr>
        <w:t xml:space="preserve"> </w:t>
      </w:r>
      <w:r w:rsidR="00170AD5">
        <w:rPr>
          <w:sz w:val="22"/>
          <w:szCs w:val="22"/>
          <w:lang w:val="uk-UA"/>
        </w:rPr>
        <w:t xml:space="preserve"> Х</w:t>
      </w:r>
      <w:r w:rsidR="005F7CAC" w:rsidRPr="005F7CAC">
        <w:rPr>
          <w:sz w:val="22"/>
          <w:szCs w:val="22"/>
          <w:lang w:val="uk-UA"/>
        </w:rPr>
        <w:t>ОБЛАСНИЙ ЗАКЛАД</w:t>
      </w:r>
      <w:r w:rsidR="005F7CAC">
        <w:rPr>
          <w:sz w:val="22"/>
          <w:szCs w:val="22"/>
          <w:lang w:val="uk-UA"/>
        </w:rPr>
        <w:t xml:space="preserve"> </w:t>
      </w:r>
      <w:r w:rsidR="005F7CAC" w:rsidRPr="005F7CAC">
        <w:rPr>
          <w:sz w:val="22"/>
          <w:szCs w:val="22"/>
          <w:lang w:val="uk-UA"/>
        </w:rPr>
        <w:t>З НАДАННЯ ПСИХІАТРИЧНОЇ ДОПОМОГИ»</w:t>
      </w:r>
      <w:r w:rsidR="005F7CAC">
        <w:rPr>
          <w:sz w:val="22"/>
          <w:szCs w:val="22"/>
          <w:lang w:val="uk-UA"/>
        </w:rPr>
        <w:t xml:space="preserve"> </w:t>
      </w:r>
      <w:r w:rsidR="005F7CAC" w:rsidRPr="005F7CAC">
        <w:rPr>
          <w:sz w:val="22"/>
          <w:szCs w:val="22"/>
          <w:lang w:val="uk-UA"/>
        </w:rPr>
        <w:t>ХМЕЛЬНИЦЬКОЇ ОБЛАСНОЇ РАДИ</w:t>
      </w:r>
      <w:r w:rsidRPr="005F7CAC">
        <w:rPr>
          <w:sz w:val="22"/>
          <w:szCs w:val="22"/>
          <w:lang w:val="uk-UA"/>
        </w:rPr>
        <w:t xml:space="preserve"> на 202</w:t>
      </w:r>
      <w:r w:rsidR="00167BE2" w:rsidRPr="005F7CAC">
        <w:rPr>
          <w:sz w:val="22"/>
          <w:szCs w:val="22"/>
          <w:lang w:val="uk-UA"/>
        </w:rPr>
        <w:t>3</w:t>
      </w:r>
      <w:r w:rsidRPr="005F7CAC">
        <w:rPr>
          <w:sz w:val="22"/>
          <w:szCs w:val="22"/>
          <w:lang w:val="uk-UA"/>
        </w:rPr>
        <w:t xml:space="preserve"> р:</w:t>
      </w:r>
    </w:p>
    <w:p w:rsidR="00DB4236" w:rsidRPr="00167BE2" w:rsidRDefault="00DB4236" w:rsidP="00DB4236">
      <w:pPr>
        <w:ind w:firstLine="709"/>
        <w:textAlignment w:val="baseline"/>
        <w:rPr>
          <w:sz w:val="22"/>
          <w:szCs w:val="22"/>
          <w:lang w:val="uk-UA"/>
        </w:rPr>
      </w:pPr>
    </w:p>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076"/>
      </w:tblGrid>
      <w:tr w:rsidR="00DB4236" w:rsidRPr="00167BE2" w:rsidTr="00670DB6">
        <w:trPr>
          <w:trHeight w:val="367"/>
        </w:trPr>
        <w:tc>
          <w:tcPr>
            <w:tcW w:w="2694" w:type="dxa"/>
            <w:gridSpan w:val="2"/>
            <w:vAlign w:val="center"/>
          </w:tcPr>
          <w:p w:rsidR="00DB4236" w:rsidRPr="00167BE2" w:rsidRDefault="00DB4236" w:rsidP="0023748A">
            <w:pPr>
              <w:pStyle w:val="a3"/>
              <w:spacing w:before="0" w:after="0"/>
              <w:ind w:left="502" w:right="-1" w:hanging="502"/>
              <w:jc w:val="center"/>
              <w:rPr>
                <w:b/>
              </w:rPr>
            </w:pPr>
            <w:r w:rsidRPr="00167BE2">
              <w:rPr>
                <w:b/>
                <w:sz w:val="22"/>
                <w:szCs w:val="22"/>
              </w:rPr>
              <w:t>202</w:t>
            </w:r>
            <w:r w:rsidR="00167BE2">
              <w:rPr>
                <w:b/>
                <w:sz w:val="22"/>
                <w:szCs w:val="22"/>
              </w:rPr>
              <w:t>3</w:t>
            </w:r>
            <w:r w:rsidRPr="00167BE2">
              <w:rPr>
                <w:b/>
                <w:sz w:val="22"/>
                <w:szCs w:val="22"/>
              </w:rPr>
              <w:t xml:space="preserve"> р, </w:t>
            </w:r>
            <w:proofErr w:type="spellStart"/>
            <w:r w:rsidRPr="00167BE2">
              <w:rPr>
                <w:b/>
                <w:sz w:val="22"/>
                <w:szCs w:val="22"/>
              </w:rPr>
              <w:t>м.куб</w:t>
            </w:r>
            <w:proofErr w:type="spellEnd"/>
            <w:r w:rsidRPr="00167BE2">
              <w:rPr>
                <w:b/>
                <w:sz w:val="22"/>
                <w:szCs w:val="22"/>
              </w:rPr>
              <w:t>.</w:t>
            </w:r>
          </w:p>
        </w:tc>
      </w:tr>
      <w:tr w:rsidR="00DB4236" w:rsidRPr="00167BE2" w:rsidTr="00670DB6">
        <w:trPr>
          <w:trHeight w:val="361"/>
        </w:trPr>
        <w:tc>
          <w:tcPr>
            <w:tcW w:w="1618" w:type="dxa"/>
          </w:tcPr>
          <w:p w:rsidR="00DB4236" w:rsidRPr="004E52D0" w:rsidRDefault="0023748A" w:rsidP="005F7CAC">
            <w:pPr>
              <w:pStyle w:val="a3"/>
              <w:spacing w:before="0" w:after="0"/>
              <w:ind w:left="502" w:right="-1" w:hanging="502"/>
              <w:jc w:val="center"/>
            </w:pPr>
            <w:r w:rsidRPr="004E52D0">
              <w:rPr>
                <w:sz w:val="22"/>
                <w:szCs w:val="22"/>
              </w:rPr>
              <w:t>Січень</w:t>
            </w:r>
          </w:p>
        </w:tc>
        <w:tc>
          <w:tcPr>
            <w:tcW w:w="1076" w:type="dxa"/>
            <w:vAlign w:val="center"/>
          </w:tcPr>
          <w:p w:rsidR="00DB4236" w:rsidRPr="004E52D0" w:rsidRDefault="001B11AB" w:rsidP="00035190">
            <w:pPr>
              <w:pStyle w:val="a3"/>
              <w:spacing w:before="0" w:after="0"/>
              <w:ind w:left="502" w:right="-1" w:hanging="502"/>
              <w:jc w:val="center"/>
            </w:pPr>
            <w:r w:rsidRPr="004E52D0">
              <w:t>-</w:t>
            </w:r>
          </w:p>
        </w:tc>
      </w:tr>
      <w:tr w:rsidR="00DB4236" w:rsidRPr="00167BE2" w:rsidTr="00670DB6">
        <w:trPr>
          <w:trHeight w:val="361"/>
        </w:trPr>
        <w:tc>
          <w:tcPr>
            <w:tcW w:w="1618" w:type="dxa"/>
          </w:tcPr>
          <w:p w:rsidR="00DB4236" w:rsidRPr="004E52D0" w:rsidRDefault="0023748A" w:rsidP="005F7CAC">
            <w:pPr>
              <w:pStyle w:val="a3"/>
              <w:spacing w:before="0" w:after="0"/>
              <w:ind w:left="502" w:right="-1" w:hanging="502"/>
              <w:jc w:val="center"/>
            </w:pPr>
            <w:r w:rsidRPr="004E52D0">
              <w:rPr>
                <w:sz w:val="22"/>
                <w:szCs w:val="22"/>
              </w:rPr>
              <w:t>Лютий</w:t>
            </w:r>
          </w:p>
        </w:tc>
        <w:tc>
          <w:tcPr>
            <w:tcW w:w="1076" w:type="dxa"/>
            <w:vAlign w:val="center"/>
          </w:tcPr>
          <w:p w:rsidR="00DB4236" w:rsidRPr="004E52D0" w:rsidRDefault="001B11AB" w:rsidP="00035190">
            <w:pPr>
              <w:pStyle w:val="a3"/>
              <w:spacing w:before="0" w:after="0"/>
              <w:ind w:left="502" w:right="-1" w:hanging="502"/>
              <w:jc w:val="center"/>
            </w:pPr>
            <w:r w:rsidRPr="004E52D0">
              <w:t>-</w:t>
            </w:r>
          </w:p>
        </w:tc>
      </w:tr>
      <w:tr w:rsidR="0023748A" w:rsidRPr="00167BE2" w:rsidTr="00670DB6">
        <w:trPr>
          <w:trHeight w:val="361"/>
        </w:trPr>
        <w:tc>
          <w:tcPr>
            <w:tcW w:w="1618" w:type="dxa"/>
          </w:tcPr>
          <w:p w:rsidR="0023748A" w:rsidRPr="004E52D0" w:rsidRDefault="0023748A" w:rsidP="005F7CAC">
            <w:pPr>
              <w:pStyle w:val="a3"/>
              <w:spacing w:before="0" w:after="0"/>
              <w:ind w:left="502" w:right="-1" w:hanging="502"/>
              <w:jc w:val="center"/>
            </w:pPr>
            <w:r w:rsidRPr="004E52D0">
              <w:rPr>
                <w:sz w:val="22"/>
                <w:szCs w:val="22"/>
              </w:rPr>
              <w:t>Березень</w:t>
            </w:r>
          </w:p>
        </w:tc>
        <w:tc>
          <w:tcPr>
            <w:tcW w:w="1076" w:type="dxa"/>
            <w:vAlign w:val="center"/>
          </w:tcPr>
          <w:p w:rsidR="0023748A" w:rsidRPr="004E52D0" w:rsidRDefault="001B11AB" w:rsidP="00035190">
            <w:pPr>
              <w:pStyle w:val="a3"/>
              <w:spacing w:before="0" w:after="0"/>
              <w:ind w:left="502" w:right="-1" w:hanging="502"/>
              <w:jc w:val="center"/>
            </w:pPr>
            <w:r w:rsidRPr="004E52D0">
              <w:t>-</w:t>
            </w:r>
          </w:p>
        </w:tc>
      </w:tr>
      <w:tr w:rsidR="0023748A" w:rsidRPr="00167BE2" w:rsidTr="00670DB6">
        <w:trPr>
          <w:trHeight w:val="361"/>
        </w:trPr>
        <w:tc>
          <w:tcPr>
            <w:tcW w:w="1618" w:type="dxa"/>
          </w:tcPr>
          <w:p w:rsidR="0023748A" w:rsidRPr="004E52D0" w:rsidRDefault="005F7CAC" w:rsidP="005F7CAC">
            <w:pPr>
              <w:pStyle w:val="a3"/>
              <w:spacing w:before="0" w:after="0"/>
              <w:ind w:left="502" w:right="-1" w:hanging="502"/>
              <w:jc w:val="center"/>
            </w:pPr>
            <w:r w:rsidRPr="004E52D0">
              <w:rPr>
                <w:sz w:val="22"/>
                <w:szCs w:val="22"/>
              </w:rPr>
              <w:t>Квітень-</w:t>
            </w:r>
            <w:r w:rsidR="0023748A" w:rsidRPr="004E52D0">
              <w:rPr>
                <w:sz w:val="22"/>
                <w:szCs w:val="22"/>
              </w:rPr>
              <w:t>Вересень</w:t>
            </w:r>
          </w:p>
        </w:tc>
        <w:tc>
          <w:tcPr>
            <w:tcW w:w="1076" w:type="dxa"/>
            <w:vAlign w:val="center"/>
          </w:tcPr>
          <w:p w:rsidR="0023748A" w:rsidRPr="004E52D0" w:rsidRDefault="004C6367" w:rsidP="0023748A">
            <w:pPr>
              <w:pStyle w:val="a3"/>
              <w:spacing w:before="0" w:after="0"/>
              <w:ind w:left="502" w:right="-1" w:hanging="502"/>
              <w:jc w:val="center"/>
            </w:pPr>
            <w:r w:rsidRPr="004E52D0">
              <w:t>60</w:t>
            </w:r>
            <w:r w:rsidR="004E52D0" w:rsidRPr="004E52D0">
              <w:t>000</w:t>
            </w:r>
          </w:p>
        </w:tc>
      </w:tr>
      <w:tr w:rsidR="0023748A" w:rsidRPr="00167BE2" w:rsidTr="00670DB6">
        <w:trPr>
          <w:trHeight w:val="361"/>
        </w:trPr>
        <w:tc>
          <w:tcPr>
            <w:tcW w:w="1618" w:type="dxa"/>
          </w:tcPr>
          <w:p w:rsidR="0023748A" w:rsidRPr="004E52D0" w:rsidRDefault="0023748A" w:rsidP="005F7CAC">
            <w:pPr>
              <w:pStyle w:val="a3"/>
              <w:spacing w:before="0" w:after="0"/>
              <w:ind w:left="502" w:right="-1" w:hanging="502"/>
              <w:jc w:val="center"/>
            </w:pPr>
            <w:r w:rsidRPr="004E52D0">
              <w:rPr>
                <w:sz w:val="22"/>
                <w:szCs w:val="22"/>
              </w:rPr>
              <w:t>Жовтень</w:t>
            </w:r>
          </w:p>
        </w:tc>
        <w:tc>
          <w:tcPr>
            <w:tcW w:w="1076" w:type="dxa"/>
            <w:vAlign w:val="center"/>
          </w:tcPr>
          <w:p w:rsidR="0023748A" w:rsidRPr="004E52D0" w:rsidRDefault="001B11AB" w:rsidP="00035190">
            <w:pPr>
              <w:pStyle w:val="a3"/>
              <w:spacing w:before="0" w:after="0"/>
              <w:ind w:left="502" w:right="-1" w:hanging="502"/>
              <w:jc w:val="center"/>
            </w:pPr>
            <w:r w:rsidRPr="004E52D0">
              <w:t>60</w:t>
            </w:r>
            <w:r w:rsidR="004E52D0" w:rsidRPr="004E52D0">
              <w:t>000</w:t>
            </w:r>
          </w:p>
        </w:tc>
      </w:tr>
      <w:tr w:rsidR="0023748A" w:rsidRPr="00167BE2" w:rsidTr="00670DB6">
        <w:trPr>
          <w:trHeight w:val="361"/>
        </w:trPr>
        <w:tc>
          <w:tcPr>
            <w:tcW w:w="1618" w:type="dxa"/>
          </w:tcPr>
          <w:p w:rsidR="0023748A" w:rsidRPr="004E52D0" w:rsidRDefault="0023748A" w:rsidP="005F7CAC">
            <w:pPr>
              <w:pStyle w:val="a3"/>
              <w:spacing w:before="0" w:after="0"/>
              <w:ind w:left="502" w:right="-1" w:hanging="502"/>
              <w:jc w:val="center"/>
            </w:pPr>
            <w:r w:rsidRPr="004E52D0">
              <w:rPr>
                <w:sz w:val="22"/>
                <w:szCs w:val="22"/>
              </w:rPr>
              <w:t>Листопад</w:t>
            </w:r>
          </w:p>
        </w:tc>
        <w:tc>
          <w:tcPr>
            <w:tcW w:w="1076" w:type="dxa"/>
            <w:vAlign w:val="center"/>
          </w:tcPr>
          <w:p w:rsidR="0023748A" w:rsidRPr="004E52D0" w:rsidRDefault="001B11AB" w:rsidP="00035190">
            <w:pPr>
              <w:pStyle w:val="a3"/>
              <w:spacing w:before="0" w:after="0"/>
              <w:ind w:left="502" w:right="-1" w:hanging="502"/>
              <w:jc w:val="center"/>
            </w:pPr>
            <w:r w:rsidRPr="004E52D0">
              <w:t>90</w:t>
            </w:r>
            <w:r w:rsidR="004E52D0" w:rsidRPr="004E52D0">
              <w:t>000</w:t>
            </w:r>
          </w:p>
        </w:tc>
      </w:tr>
      <w:tr w:rsidR="00DB4236" w:rsidRPr="00167BE2" w:rsidTr="00670DB6">
        <w:trPr>
          <w:trHeight w:val="311"/>
        </w:trPr>
        <w:tc>
          <w:tcPr>
            <w:tcW w:w="1618" w:type="dxa"/>
          </w:tcPr>
          <w:p w:rsidR="00DB4236" w:rsidRPr="004E52D0" w:rsidRDefault="00DB4236" w:rsidP="005F7CAC">
            <w:pPr>
              <w:pStyle w:val="a3"/>
              <w:spacing w:before="0" w:after="0"/>
              <w:ind w:left="502" w:right="-1" w:hanging="502"/>
              <w:jc w:val="center"/>
            </w:pPr>
            <w:r w:rsidRPr="004E52D0">
              <w:rPr>
                <w:sz w:val="22"/>
                <w:szCs w:val="22"/>
              </w:rPr>
              <w:t>Грудень</w:t>
            </w:r>
          </w:p>
        </w:tc>
        <w:tc>
          <w:tcPr>
            <w:tcW w:w="1076" w:type="dxa"/>
            <w:vAlign w:val="center"/>
          </w:tcPr>
          <w:p w:rsidR="00DB4236" w:rsidRPr="004E52D0" w:rsidRDefault="001B11AB" w:rsidP="00035190">
            <w:pPr>
              <w:pStyle w:val="a3"/>
              <w:spacing w:before="0" w:after="0"/>
              <w:ind w:left="502" w:right="-1" w:hanging="502"/>
              <w:jc w:val="center"/>
            </w:pPr>
            <w:r w:rsidRPr="004E52D0">
              <w:t>90</w:t>
            </w:r>
            <w:r w:rsidR="004E52D0" w:rsidRPr="004E52D0">
              <w:t>000</w:t>
            </w:r>
          </w:p>
        </w:tc>
      </w:tr>
      <w:tr w:rsidR="0023748A" w:rsidRPr="00167BE2" w:rsidTr="00670DB6">
        <w:trPr>
          <w:trHeight w:val="311"/>
        </w:trPr>
        <w:tc>
          <w:tcPr>
            <w:tcW w:w="1618" w:type="dxa"/>
          </w:tcPr>
          <w:p w:rsidR="0023748A" w:rsidRPr="004E52D0" w:rsidRDefault="0023748A" w:rsidP="005F7CAC">
            <w:pPr>
              <w:pStyle w:val="a3"/>
              <w:spacing w:before="0" w:after="0"/>
              <w:ind w:left="502" w:right="-1" w:hanging="502"/>
              <w:jc w:val="center"/>
              <w:rPr>
                <w:b/>
              </w:rPr>
            </w:pPr>
            <w:r w:rsidRPr="004E52D0">
              <w:rPr>
                <w:b/>
                <w:sz w:val="22"/>
                <w:szCs w:val="22"/>
              </w:rPr>
              <w:t>ВСЬОГО</w:t>
            </w:r>
          </w:p>
        </w:tc>
        <w:tc>
          <w:tcPr>
            <w:tcW w:w="1076" w:type="dxa"/>
            <w:vAlign w:val="center"/>
          </w:tcPr>
          <w:p w:rsidR="0023748A" w:rsidRPr="004E52D0" w:rsidRDefault="001B11AB" w:rsidP="00035190">
            <w:pPr>
              <w:pStyle w:val="a3"/>
              <w:spacing w:before="0" w:after="0"/>
              <w:ind w:left="502" w:right="-1" w:hanging="502"/>
              <w:jc w:val="center"/>
              <w:rPr>
                <w:b/>
              </w:rPr>
            </w:pPr>
            <w:r w:rsidRPr="004E52D0">
              <w:rPr>
                <w:b/>
              </w:rPr>
              <w:t>300</w:t>
            </w:r>
            <w:r w:rsidR="004E52D0" w:rsidRPr="004E52D0">
              <w:rPr>
                <w:b/>
              </w:rPr>
              <w:t xml:space="preserve"> 000</w:t>
            </w:r>
          </w:p>
        </w:tc>
      </w:tr>
    </w:tbl>
    <w:p w:rsidR="00DB4236" w:rsidRPr="00167BE2" w:rsidRDefault="00DB4236" w:rsidP="00DB4236">
      <w:pPr>
        <w:ind w:firstLine="709"/>
        <w:textAlignment w:val="baseline"/>
        <w:rPr>
          <w:sz w:val="22"/>
          <w:szCs w:val="22"/>
          <w:lang w:val="uk-UA"/>
        </w:rPr>
      </w:pPr>
    </w:p>
    <w:p w:rsidR="00226521" w:rsidRDefault="00226521" w:rsidP="00DB4236">
      <w:pPr>
        <w:ind w:firstLine="709"/>
        <w:textAlignment w:val="baseline"/>
        <w:rPr>
          <w:sz w:val="22"/>
          <w:szCs w:val="22"/>
          <w:lang w:val="uk-UA"/>
        </w:rPr>
      </w:pPr>
    </w:p>
    <w:p w:rsidR="00226521" w:rsidRDefault="00226521" w:rsidP="00DB4236">
      <w:pPr>
        <w:ind w:firstLine="709"/>
        <w:textAlignment w:val="baseline"/>
        <w:rPr>
          <w:sz w:val="22"/>
          <w:szCs w:val="22"/>
          <w:lang w:val="uk-UA"/>
        </w:rPr>
      </w:pPr>
    </w:p>
    <w:p w:rsidR="00DB4236" w:rsidRPr="00167BE2" w:rsidRDefault="00170AD5" w:rsidP="00DB4236">
      <w:pPr>
        <w:ind w:firstLine="709"/>
        <w:textAlignment w:val="baseline"/>
        <w:rPr>
          <w:sz w:val="22"/>
          <w:szCs w:val="22"/>
          <w:lang w:val="uk-UA"/>
        </w:rPr>
      </w:pPr>
      <w:r>
        <w:rPr>
          <w:sz w:val="22"/>
          <w:szCs w:val="22"/>
          <w:lang w:val="uk-UA"/>
        </w:rPr>
        <w:t>Уповноважена особа</w:t>
      </w:r>
      <w:r w:rsidR="00DB4236" w:rsidRPr="00167BE2">
        <w:rPr>
          <w:sz w:val="22"/>
          <w:szCs w:val="22"/>
          <w:lang w:val="uk-UA"/>
        </w:rPr>
        <w:t xml:space="preserve">____________________  </w:t>
      </w:r>
      <w:r>
        <w:rPr>
          <w:sz w:val="22"/>
          <w:szCs w:val="22"/>
          <w:lang w:val="uk-UA"/>
        </w:rPr>
        <w:t>.</w:t>
      </w:r>
      <w:r w:rsidR="00DB4236" w:rsidRPr="00167BE2">
        <w:rPr>
          <w:sz w:val="22"/>
          <w:szCs w:val="22"/>
          <w:lang w:val="uk-UA"/>
        </w:rPr>
        <w:t xml:space="preserve">           </w:t>
      </w:r>
    </w:p>
    <w:p w:rsidR="00DB4236" w:rsidRPr="005F7CAC" w:rsidRDefault="00DB4236" w:rsidP="005F7CAC">
      <w:pPr>
        <w:rPr>
          <w:sz w:val="22"/>
          <w:szCs w:val="22"/>
          <w:lang w:val="uk-UA"/>
        </w:rPr>
      </w:pPr>
      <w:r w:rsidRPr="00167BE2">
        <w:rPr>
          <w:sz w:val="22"/>
          <w:szCs w:val="22"/>
          <w:lang w:val="uk-UA"/>
        </w:rPr>
        <w:t xml:space="preserve">               </w:t>
      </w:r>
    </w:p>
    <w:p w:rsidR="004958B5" w:rsidRPr="00167BE2" w:rsidRDefault="004958B5">
      <w:pPr>
        <w:rPr>
          <w:sz w:val="22"/>
          <w:szCs w:val="22"/>
          <w:lang w:val="uk-UA"/>
        </w:rPr>
      </w:pPr>
    </w:p>
    <w:sectPr w:rsidR="004958B5" w:rsidRPr="00167BE2" w:rsidSect="007348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B6C2B"/>
    <w:multiLevelType w:val="hybridMultilevel"/>
    <w:tmpl w:val="25CEA3A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B4236"/>
    <w:rsid w:val="00035190"/>
    <w:rsid w:val="000A7947"/>
    <w:rsid w:val="00112927"/>
    <w:rsid w:val="00167BE2"/>
    <w:rsid w:val="00170AD5"/>
    <w:rsid w:val="001A0FD9"/>
    <w:rsid w:val="001B11AB"/>
    <w:rsid w:val="00226521"/>
    <w:rsid w:val="0023748A"/>
    <w:rsid w:val="00270525"/>
    <w:rsid w:val="003A6220"/>
    <w:rsid w:val="004958B5"/>
    <w:rsid w:val="004B3AE2"/>
    <w:rsid w:val="004C6367"/>
    <w:rsid w:val="004E52D0"/>
    <w:rsid w:val="005069CA"/>
    <w:rsid w:val="005F7CAC"/>
    <w:rsid w:val="00734813"/>
    <w:rsid w:val="00AA5AF4"/>
    <w:rsid w:val="00B80FA1"/>
    <w:rsid w:val="00C40557"/>
    <w:rsid w:val="00CD34BB"/>
    <w:rsid w:val="00CE3919"/>
    <w:rsid w:val="00DB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C15CB-4EEF-4F01-83CF-0254F5E9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236"/>
    <w:pPr>
      <w:widowControl w:val="0"/>
      <w:suppressAutoHyphens/>
      <w:autoSpaceDE w:val="0"/>
      <w:autoSpaceDN w:val="0"/>
      <w:adjustRightInd w:val="0"/>
      <w:spacing w:after="0" w:line="240" w:lineRule="auto"/>
      <w:ind w:firstLine="12"/>
      <w:jc w:val="both"/>
    </w:pPr>
    <w:rPr>
      <w:rFonts w:ascii="Times New Roman" w:eastAsia="Times New Roman" w:hAnsi="Times New Roman" w:cs="Times New Roman"/>
      <w:color w:val="000000"/>
      <w:sz w:val="24"/>
      <w:szCs w:val="24"/>
      <w:u w:color="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
    <w:unhideWhenUsed/>
    <w:qFormat/>
    <w:rsid w:val="00DB4236"/>
    <w:pPr>
      <w:widowControl/>
      <w:suppressAutoHyphens w:val="0"/>
      <w:autoSpaceDE/>
      <w:autoSpaceDN/>
      <w:adjustRightInd/>
      <w:spacing w:before="100" w:beforeAutospacing="1" w:after="100" w:afterAutospacing="1"/>
      <w:ind w:firstLine="0"/>
      <w:jc w:val="left"/>
    </w:pPr>
    <w:rPr>
      <w:color w:val="auto"/>
      <w:lang w:val="uk-UA" w:eastAsia="uk-UA"/>
    </w:rPr>
  </w:style>
  <w:style w:type="character" w:customStyle="1" w:styleId="1">
    <w:name w:val="Обычный (веб) Знак1"/>
    <w:aliases w:val="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rsid w:val="00DB4236"/>
    <w:rPr>
      <w:rFonts w:ascii="Times New Roman" w:eastAsia="Times New Roman" w:hAnsi="Times New Roman" w:cs="Times New Roman"/>
      <w:sz w:val="24"/>
      <w:szCs w:val="24"/>
      <w:lang w:eastAsia="uk-UA"/>
    </w:rPr>
  </w:style>
  <w:style w:type="character" w:customStyle="1" w:styleId="2">
    <w:name w:val="Основной текст (2)_"/>
    <w:link w:val="21"/>
    <w:locked/>
    <w:rsid w:val="00DB4236"/>
    <w:rPr>
      <w:shd w:val="clear" w:color="auto" w:fill="FFFFFF"/>
    </w:rPr>
  </w:style>
  <w:style w:type="paragraph" w:customStyle="1" w:styleId="21">
    <w:name w:val="Основной текст (2)1"/>
    <w:basedOn w:val="a"/>
    <w:link w:val="2"/>
    <w:rsid w:val="00DB4236"/>
    <w:pPr>
      <w:shd w:val="clear" w:color="auto" w:fill="FFFFFF"/>
      <w:suppressAutoHyphens w:val="0"/>
      <w:autoSpaceDE/>
      <w:autoSpaceDN/>
      <w:adjustRightInd/>
      <w:spacing w:line="240" w:lineRule="atLeast"/>
      <w:ind w:hanging="400"/>
      <w:jc w:val="left"/>
    </w:pPr>
    <w:rPr>
      <w:rFonts w:asciiTheme="minorHAnsi" w:eastAsiaTheme="minorHAnsi" w:hAnsiTheme="minorHAnsi" w:cstheme="minorBidi"/>
      <w:color w:val="auto"/>
      <w:sz w:val="22"/>
      <w:szCs w:val="22"/>
      <w:lang w:val="uk-UA" w:eastAsia="en-US"/>
    </w:rPr>
  </w:style>
  <w:style w:type="paragraph" w:customStyle="1" w:styleId="31">
    <w:name w:val="Основной текст с отступом 31"/>
    <w:basedOn w:val="a"/>
    <w:rsid w:val="00DB4236"/>
    <w:pPr>
      <w:widowControl/>
      <w:autoSpaceDE/>
      <w:autoSpaceDN/>
      <w:adjustRightInd/>
      <w:spacing w:after="120"/>
      <w:ind w:left="283" w:firstLine="0"/>
      <w:jc w:val="left"/>
    </w:pPr>
    <w:rPr>
      <w:rFonts w:ascii="Times New Roman CYR" w:hAnsi="Times New Roman CYR" w:cs="Times New Roman CYR"/>
      <w:color w:val="auto"/>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601</Words>
  <Characters>3431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13</cp:revision>
  <cp:lastPrinted>2023-03-28T07:47:00Z</cp:lastPrinted>
  <dcterms:created xsi:type="dcterms:W3CDTF">2020-11-17T08:09:00Z</dcterms:created>
  <dcterms:modified xsi:type="dcterms:W3CDTF">2023-03-28T08:48:00Z</dcterms:modified>
</cp:coreProperties>
</file>