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1C14A9" w:rsidP="00CB64C1">
      <w:pPr>
        <w:ind w:left="-142" w:firstLine="567"/>
        <w:jc w:val="center"/>
        <w:rPr>
          <w:b/>
          <w:bCs/>
          <w:sz w:val="24"/>
          <w:szCs w:val="24"/>
          <w:lang w:val="uk-UA"/>
        </w:rPr>
      </w:pPr>
      <w:r>
        <w:rPr>
          <w:b/>
          <w:bCs/>
          <w:sz w:val="24"/>
          <w:szCs w:val="24"/>
          <w:lang w:val="uk-UA"/>
        </w:rPr>
        <w:t>02</w:t>
      </w:r>
      <w:r w:rsidR="00B456E5">
        <w:rPr>
          <w:b/>
          <w:bCs/>
          <w:sz w:val="24"/>
          <w:szCs w:val="24"/>
          <w:lang w:val="uk-UA"/>
        </w:rPr>
        <w:t>.1</w:t>
      </w:r>
      <w:r>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CF4CB1">
        <w:rPr>
          <w:b/>
          <w:sz w:val="20"/>
          <w:lang w:val="uk-UA"/>
        </w:rPr>
        <w:t>1 235 193,94</w:t>
      </w:r>
      <w:r w:rsidRPr="00827FFE">
        <w:rPr>
          <w:b/>
          <w:sz w:val="20"/>
          <w:lang w:val="uk-UA"/>
        </w:rPr>
        <w:t xml:space="preserve">  грн.</w:t>
      </w:r>
      <w:r w:rsidR="00C93538" w:rsidRPr="00827FFE">
        <w:rPr>
          <w:b/>
          <w:sz w:val="20"/>
          <w:lang w:val="uk-UA"/>
        </w:rPr>
        <w:t xml:space="preserve"> </w:t>
      </w:r>
      <w:r w:rsidR="002246E5">
        <w:rPr>
          <w:b/>
          <w:sz w:val="20"/>
          <w:lang w:val="uk-UA"/>
        </w:rPr>
        <w:t>(</w:t>
      </w:r>
      <w:r w:rsidR="00CF4CB1" w:rsidRPr="00CF4CB1">
        <w:rPr>
          <w:b/>
          <w:sz w:val="20"/>
          <w:lang w:val="uk-UA"/>
        </w:rPr>
        <w:t>Один мільйон двісті тридцять п'ять тисяч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C40937" w:rsidRPr="00C40937">
        <w:rPr>
          <w:b/>
          <w:bCs/>
          <w:sz w:val="20"/>
          <w:lang w:val="uk-UA"/>
        </w:rPr>
        <w:t>вул. Михайла Брайчевського, 12</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C40937">
        <w:rPr>
          <w:b/>
          <w:bCs/>
          <w:sz w:val="20"/>
          <w:lang w:val="uk-UA"/>
        </w:rPr>
        <w:t>вул. Михайла Брайчевського, 12</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w:t>
      </w:r>
      <w:r w:rsidR="001C14A9">
        <w:rPr>
          <w:b/>
          <w:sz w:val="20"/>
          <w:lang w:val="uk-UA"/>
        </w:rPr>
        <w:t>8</w:t>
      </w:r>
      <w:r w:rsidR="00E7594A" w:rsidRPr="00E7594A">
        <w:rPr>
          <w:b/>
          <w:sz w:val="20"/>
          <w:lang w:val="uk-UA"/>
        </w:rPr>
        <w:t>.11.2023 08:00.</w:t>
      </w:r>
    </w:p>
    <w:p w:rsidR="00CB64C1" w:rsidRPr="0051119E" w:rsidRDefault="00E7594A" w:rsidP="00E7594A">
      <w:pPr>
        <w:ind w:left="-142" w:firstLine="567"/>
        <w:contextualSpacing/>
        <w:jc w:val="both"/>
        <w:rPr>
          <w:sz w:val="20"/>
          <w:lang w:val="uk-UA"/>
        </w:rPr>
      </w:pPr>
      <w:r w:rsidRPr="00E7594A">
        <w:rPr>
          <w:b/>
          <w:sz w:val="20"/>
          <w:lang w:val="uk-UA"/>
        </w:rPr>
        <w:t>8. Кінцевий</w:t>
      </w:r>
      <w:r w:rsidR="00A22162">
        <w:rPr>
          <w:b/>
          <w:sz w:val="20"/>
          <w:lang w:val="uk-UA"/>
        </w:rPr>
        <w:t xml:space="preserve"> строк подання пропозицій: по </w:t>
      </w:r>
      <w:r w:rsidR="001C14A9">
        <w:rPr>
          <w:b/>
          <w:sz w:val="20"/>
          <w:lang w:val="uk-UA"/>
        </w:rPr>
        <w:t>13</w:t>
      </w:r>
      <w:bookmarkStart w:id="0" w:name="_GoBack"/>
      <w:bookmarkEnd w:id="0"/>
      <w:r w:rsidRPr="00E7594A">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CF4CB1">
        <w:rPr>
          <w:i/>
          <w:sz w:val="20"/>
          <w:lang w:val="uk-UA"/>
        </w:rPr>
        <w:t>12 352</w:t>
      </w:r>
      <w:r w:rsidR="00C07A53">
        <w:rPr>
          <w:i/>
          <w:sz w:val="20"/>
          <w:lang w:val="uk-UA"/>
        </w:rPr>
        <w:t xml:space="preserve">,00 </w:t>
      </w:r>
      <w:r w:rsidRPr="0051119E">
        <w:rPr>
          <w:i/>
          <w:sz w:val="20"/>
          <w:lang w:val="uk-UA"/>
        </w:rPr>
        <w:t>грн. (</w:t>
      </w:r>
      <w:r w:rsidR="00CF4CB1" w:rsidRPr="00CF4CB1">
        <w:rPr>
          <w:i/>
          <w:sz w:val="20"/>
          <w:lang w:val="uk-UA"/>
        </w:rPr>
        <w:t>Дванадцять тисяч триста п'ятдесят дві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40937">
        <w:rPr>
          <w:b/>
          <w:bCs/>
          <w:sz w:val="20"/>
          <w:lang w:val="uk-UA"/>
        </w:rPr>
        <w:t>вул. Михайла Брайчевського, 12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C40937">
        <w:rPr>
          <w:b/>
          <w:bCs/>
          <w:sz w:val="22"/>
          <w:szCs w:val="22"/>
          <w:lang w:val="uk-UA"/>
        </w:rPr>
        <w:t>вул. Михайла Брайчевського, 12</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C40937">
        <w:rPr>
          <w:b/>
          <w:sz w:val="22"/>
          <w:szCs w:val="22"/>
          <w:lang w:val="uk-UA"/>
        </w:rPr>
        <w:t>вул. Михайла Брайчевського, 12</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sz w:val="22"/>
          <w:szCs w:val="22"/>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40937">
              <w:rPr>
                <w:b/>
                <w:bCs/>
                <w:sz w:val="20"/>
                <w:lang w:val="uk-UA"/>
              </w:rPr>
              <w:t>вул. Михайла Брайчевського, 12</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87" w:rsidRDefault="00C45587" w:rsidP="004F1A2E">
      <w:r>
        <w:separator/>
      </w:r>
    </w:p>
  </w:endnote>
  <w:endnote w:type="continuationSeparator" w:id="0">
    <w:p w:rsidR="00C45587" w:rsidRDefault="00C45587"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87" w:rsidRDefault="00C45587" w:rsidP="004F1A2E">
      <w:r>
        <w:separator/>
      </w:r>
    </w:p>
  </w:footnote>
  <w:footnote w:type="continuationSeparator" w:id="0">
    <w:p w:rsidR="00C45587" w:rsidRDefault="00C45587"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670"/>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14A9"/>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3D05"/>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162"/>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0937"/>
    <w:rsid w:val="00C4188C"/>
    <w:rsid w:val="00C4229D"/>
    <w:rsid w:val="00C42C81"/>
    <w:rsid w:val="00C43457"/>
    <w:rsid w:val="00C43E23"/>
    <w:rsid w:val="00C4492A"/>
    <w:rsid w:val="00C44D87"/>
    <w:rsid w:val="00C455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4CB1"/>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A7EF6"/>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BB77-F381-441F-9BFC-883F44E1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31961</Words>
  <Characters>18219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2023-11-02T06:40:00Z</cp:lastPrinted>
  <dcterms:created xsi:type="dcterms:W3CDTF">2023-11-02T06:45:00Z</dcterms:created>
  <dcterms:modified xsi:type="dcterms:W3CDTF">2023-11-02T06:45:00Z</dcterms:modified>
</cp:coreProperties>
</file>