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094AC8">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094AC8">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37FBF" w:rsidRDefault="00537FBF" w:rsidP="00FC0F4A">
      <w:pPr>
        <w:spacing w:after="0" w:line="240" w:lineRule="auto"/>
        <w:jc w:val="center"/>
        <w:rPr>
          <w:rFonts w:ascii="Times New Roman" w:hAnsi="Times New Roman" w:cs="Times New Roman"/>
          <w:bCs/>
          <w:color w:val="0070C0"/>
          <w:sz w:val="24"/>
          <w:szCs w:val="24"/>
        </w:rPr>
      </w:pPr>
      <w:bookmarkStart w:id="0" w:name="_GoBack"/>
      <w:r w:rsidRPr="00730DB9">
        <w:rPr>
          <w:rFonts w:ascii="Times New Roman" w:hAnsi="Times New Roman" w:cs="Times New Roman"/>
          <w:bCs/>
          <w:color w:val="0070C0"/>
          <w:sz w:val="24"/>
          <w:szCs w:val="24"/>
        </w:rPr>
        <w:t>«</w:t>
      </w:r>
      <w:r>
        <w:rPr>
          <w:rFonts w:ascii="Times New Roman" w:hAnsi="Times New Roman"/>
          <w:b/>
          <w:color w:val="0070C0"/>
          <w:sz w:val="24"/>
          <w:szCs w:val="24"/>
        </w:rPr>
        <w:t>Частини електродвигунів (траверса, якір)</w:t>
      </w:r>
      <w:r w:rsidRPr="00730DB9">
        <w:rPr>
          <w:rFonts w:ascii="Times New Roman" w:hAnsi="Times New Roman" w:cs="Times New Roman"/>
          <w:bCs/>
          <w:color w:val="0070C0"/>
          <w:sz w:val="24"/>
          <w:szCs w:val="24"/>
        </w:rPr>
        <w:t>»</w:t>
      </w:r>
    </w:p>
    <w:p w:rsidR="00FC0F4A" w:rsidRPr="0027130D" w:rsidRDefault="00FC0F4A" w:rsidP="00537FBF">
      <w:pPr>
        <w:spacing w:after="0" w:line="240" w:lineRule="auto"/>
        <w:jc w:val="center"/>
        <w:rPr>
          <w:rFonts w:ascii="Times New Roman" w:hAnsi="Times New Roman" w:cs="Times New Roman"/>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sidR="00523A8A">
        <w:rPr>
          <w:rFonts w:ascii="Times New Roman" w:hAnsi="Times New Roman" w:cs="Times New Roman"/>
          <w:b/>
          <w:sz w:val="24"/>
          <w:szCs w:val="24"/>
        </w:rPr>
        <w:t>3</w:t>
      </w:r>
      <w:r w:rsidR="00537FBF">
        <w:rPr>
          <w:rFonts w:ascii="Times New Roman" w:hAnsi="Times New Roman" w:cs="Times New Roman"/>
          <w:b/>
          <w:sz w:val="24"/>
          <w:szCs w:val="24"/>
        </w:rPr>
        <w:t>116</w:t>
      </w:r>
      <w:r w:rsidR="00523A8A">
        <w:rPr>
          <w:rFonts w:ascii="Times New Roman" w:hAnsi="Times New Roman" w:cs="Times New Roman"/>
          <w:b/>
          <w:sz w:val="24"/>
          <w:szCs w:val="24"/>
        </w:rPr>
        <w:t>0000-</w:t>
      </w:r>
      <w:r w:rsidR="00537FBF">
        <w:rPr>
          <w:rFonts w:ascii="Times New Roman" w:hAnsi="Times New Roman" w:cs="Times New Roman"/>
          <w:b/>
          <w:sz w:val="24"/>
          <w:szCs w:val="24"/>
        </w:rPr>
        <w:t>5</w:t>
      </w:r>
      <w:r w:rsidRPr="00B155ED">
        <w:rPr>
          <w:rFonts w:ascii="Times New Roman" w:hAnsi="Times New Roman" w:cs="Times New Roman"/>
          <w:b/>
          <w:sz w:val="24"/>
          <w:szCs w:val="24"/>
        </w:rPr>
        <w:t xml:space="preserve"> </w:t>
      </w:r>
      <w:r w:rsidR="00523A8A">
        <w:rPr>
          <w:rFonts w:ascii="Times New Roman" w:hAnsi="Times New Roman" w:cs="Times New Roman"/>
          <w:b/>
          <w:sz w:val="24"/>
          <w:szCs w:val="24"/>
        </w:rPr>
        <w:t>–</w:t>
      </w:r>
      <w:r w:rsidRPr="00B155ED">
        <w:rPr>
          <w:rFonts w:ascii="Times New Roman" w:hAnsi="Times New Roman" w:cs="Times New Roman"/>
          <w:b/>
          <w:sz w:val="24"/>
          <w:szCs w:val="24"/>
        </w:rPr>
        <w:t xml:space="preserve"> </w:t>
      </w:r>
      <w:r w:rsidR="00537FBF">
        <w:rPr>
          <w:rFonts w:ascii="Times New Roman" w:hAnsi="Times New Roman" w:cs="Times New Roman"/>
          <w:b/>
          <w:sz w:val="24"/>
          <w:szCs w:val="24"/>
        </w:rPr>
        <w:t>Частини електродвигунів, генераторів і трансформаторів</w:t>
      </w:r>
    </w:p>
    <w:bookmarkEnd w:id="0"/>
    <w:p w:rsidR="00523A8A" w:rsidRDefault="00523A8A" w:rsidP="00FC0F4A">
      <w:pPr>
        <w:spacing w:after="0" w:line="240" w:lineRule="auto"/>
        <w:jc w:val="center"/>
        <w:rPr>
          <w:rFonts w:ascii="Times New Roman" w:hAnsi="Times New Roman" w:cs="Times New Roman"/>
          <w:b/>
          <w:sz w:val="20"/>
          <w:szCs w:val="20"/>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lastRenderedPageBreak/>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w:t>
            </w:r>
            <w:r w:rsidR="00094AC8">
              <w:rPr>
                <w:rFonts w:ascii="Times New Roman" w:hAnsi="Times New Roman" w:cs="Times New Roman"/>
                <w:color w:val="943634" w:themeColor="accent2" w:themeShade="BF"/>
              </w:rPr>
              <w:t xml:space="preserve"> </w:t>
            </w:r>
            <w:r w:rsidR="00DC4539" w:rsidRPr="002A1C5D">
              <w:rPr>
                <w:rFonts w:ascii="Times New Roman" w:hAnsi="Times New Roman" w:cs="Times New Roman"/>
                <w:color w:val="943634" w:themeColor="accent2" w:themeShade="BF"/>
              </w:rPr>
              <w:t xml:space="preserve">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w:t>
            </w:r>
            <w:r w:rsidRPr="002A1C5D">
              <w:rPr>
                <w:rFonts w:ascii="Times New Roman" w:hAnsi="Times New Roman" w:cs="Times New Roman"/>
                <w:color w:val="943634" w:themeColor="accent2" w:themeShade="BF"/>
                <w:sz w:val="20"/>
                <w:szCs w:val="20"/>
              </w:rPr>
              <w:lastRenderedPageBreak/>
              <w:t>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w:t>
      </w:r>
      <w:r w:rsidRPr="0070663B">
        <w:rPr>
          <w:rFonts w:ascii="Times New Roman" w:eastAsia="Times New Roman" w:hAnsi="Times New Roman" w:cs="Times New Roman"/>
          <w:color w:val="0D0D0D" w:themeColor="text1" w:themeTint="F2"/>
          <w:sz w:val="20"/>
          <w:szCs w:val="20"/>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w:t>
            </w:r>
            <w:r w:rsidRPr="00736CB8">
              <w:rPr>
                <w:rFonts w:ascii="Times New Roman" w:eastAsia="Times New Roman" w:hAnsi="Times New Roman" w:cs="Times New Roman"/>
                <w:color w:val="000000" w:themeColor="text1"/>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w:t>
            </w:r>
            <w:r w:rsidRPr="00736CB8">
              <w:rPr>
                <w:rFonts w:ascii="Times New Roman" w:eastAsia="Times New Roman" w:hAnsi="Times New Roman" w:cs="Times New Roman"/>
                <w:color w:val="000000" w:themeColor="text1"/>
                <w:sz w:val="20"/>
                <w:szCs w:val="20"/>
              </w:rPr>
              <w:lastRenderedPageBreak/>
              <w:t xml:space="preserve">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736CB8">
              <w:rPr>
                <w:rFonts w:ascii="Times New Roman" w:eastAsia="Times New Roman" w:hAnsi="Times New Roman" w:cs="Times New Roman"/>
                <w:color w:val="000000" w:themeColor="text1"/>
                <w:sz w:val="20"/>
                <w:szCs w:val="20"/>
              </w:rPr>
              <w:lastRenderedPageBreak/>
              <w:t>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94AC8"/>
    <w:rsid w:val="000C422D"/>
    <w:rsid w:val="001079F6"/>
    <w:rsid w:val="00124972"/>
    <w:rsid w:val="00150F60"/>
    <w:rsid w:val="001A3FF0"/>
    <w:rsid w:val="001C1210"/>
    <w:rsid w:val="001D088D"/>
    <w:rsid w:val="001D30D4"/>
    <w:rsid w:val="001F39EB"/>
    <w:rsid w:val="00215181"/>
    <w:rsid w:val="00224CF1"/>
    <w:rsid w:val="00245A8C"/>
    <w:rsid w:val="00294A89"/>
    <w:rsid w:val="002A1C5D"/>
    <w:rsid w:val="002B121E"/>
    <w:rsid w:val="0031294A"/>
    <w:rsid w:val="00327B3B"/>
    <w:rsid w:val="00374EBA"/>
    <w:rsid w:val="003B2F79"/>
    <w:rsid w:val="003C2FF4"/>
    <w:rsid w:val="003F6CBF"/>
    <w:rsid w:val="00425DDC"/>
    <w:rsid w:val="0046298C"/>
    <w:rsid w:val="004736BD"/>
    <w:rsid w:val="004B758A"/>
    <w:rsid w:val="004D0205"/>
    <w:rsid w:val="004D59E0"/>
    <w:rsid w:val="004E7ADE"/>
    <w:rsid w:val="004F2389"/>
    <w:rsid w:val="0050250B"/>
    <w:rsid w:val="00523A8A"/>
    <w:rsid w:val="00537FBF"/>
    <w:rsid w:val="00544982"/>
    <w:rsid w:val="005559E5"/>
    <w:rsid w:val="00572381"/>
    <w:rsid w:val="005A0E73"/>
    <w:rsid w:val="005B29E0"/>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134E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213D1"/>
    <w:rsid w:val="00E3767A"/>
    <w:rsid w:val="00E55BF0"/>
    <w:rsid w:val="00E70965"/>
    <w:rsid w:val="00E76B09"/>
    <w:rsid w:val="00EE6DED"/>
    <w:rsid w:val="00EF4D61"/>
    <w:rsid w:val="00EF4D9E"/>
    <w:rsid w:val="00F14D95"/>
    <w:rsid w:val="00F402BA"/>
    <w:rsid w:val="00F468ED"/>
    <w:rsid w:val="00F95353"/>
    <w:rsid w:val="00FA0825"/>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1DDB-FB1B-442C-A043-4EA32E27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7</Pages>
  <Words>16174</Words>
  <Characters>9220</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93</cp:revision>
  <cp:lastPrinted>2021-11-17T07:21:00Z</cp:lastPrinted>
  <dcterms:created xsi:type="dcterms:W3CDTF">2021-07-30T12:15:00Z</dcterms:created>
  <dcterms:modified xsi:type="dcterms:W3CDTF">2024-01-29T11:08:00Z</dcterms:modified>
</cp:coreProperties>
</file>