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67FB" w:rsidRPr="0006263B" w:rsidRDefault="005E67FB" w:rsidP="005E67FB">
      <w:pPr>
        <w:tabs>
          <w:tab w:val="left" w:pos="4080"/>
        </w:tabs>
        <w:jc w:val="right"/>
        <w:rPr>
          <w:lang w:val="uk-UA"/>
        </w:rPr>
      </w:pPr>
      <w:r w:rsidRPr="0006263B">
        <w:rPr>
          <w:lang w:val="uk-UA"/>
        </w:rPr>
        <w:t xml:space="preserve">Додаток </w:t>
      </w:r>
      <w:r w:rsidR="00ED6DD8" w:rsidRPr="0006263B">
        <w:rPr>
          <w:lang w:val="uk-UA"/>
        </w:rPr>
        <w:t>2</w:t>
      </w:r>
      <w:r w:rsidRPr="0006263B">
        <w:rPr>
          <w:lang w:val="uk-UA"/>
        </w:rPr>
        <w:t xml:space="preserve"> </w:t>
      </w:r>
    </w:p>
    <w:p w:rsidR="00200C5B" w:rsidRPr="0006263B" w:rsidRDefault="00200C5B" w:rsidP="00200C5B">
      <w:pPr>
        <w:keepNext/>
        <w:jc w:val="center"/>
        <w:rPr>
          <w:b/>
          <w:bCs/>
          <w:lang w:val="uk-UA"/>
        </w:rPr>
      </w:pPr>
      <w:r w:rsidRPr="0006263B">
        <w:rPr>
          <w:b/>
          <w:bCs/>
          <w:lang w:val="uk-UA"/>
        </w:rPr>
        <w:t>ТЕХНІЧНЕ ЗАВДАННЯ</w:t>
      </w:r>
    </w:p>
    <w:p w:rsidR="00A76A27" w:rsidRPr="00FC5A5A" w:rsidRDefault="00ED6DD8" w:rsidP="000567F4">
      <w:pPr>
        <w:rPr>
          <w:lang w:val="uk-UA" w:eastAsia="en-US"/>
        </w:rPr>
      </w:pPr>
      <w:r w:rsidRPr="0006263B">
        <w:rPr>
          <w:lang w:val="uk-UA"/>
        </w:rPr>
        <w:t>до предмету закупівлі</w:t>
      </w:r>
      <w:r w:rsidR="0095600C" w:rsidRPr="00B23F76">
        <w:rPr>
          <w:lang w:val="uk-UA"/>
        </w:rPr>
        <w:t>:</w:t>
      </w:r>
      <w:r w:rsidR="00D901DA" w:rsidRPr="00B23F76">
        <w:rPr>
          <w:lang w:val="uk-UA"/>
        </w:rPr>
        <w:t xml:space="preserve"> </w:t>
      </w:r>
      <w:r w:rsidR="00B23F76" w:rsidRPr="00B23F76">
        <w:rPr>
          <w:b/>
          <w:bdr w:val="none" w:sz="0" w:space="0" w:color="auto" w:frame="1"/>
          <w:lang w:val="uk-UA"/>
        </w:rPr>
        <w:t>Полігонне обладнання спеціального призначення в складі: пристрій підйому мішені (ППМ – 20) в комплекті з перетворювачем визначення влучень електронним-вібраційним, ліхтарем спалахів, підсвітки мішеней та інфрачервоним ліхтарем, приймальною антеною та внутрішнім акумулятором 12В*12А/год</w:t>
      </w:r>
      <w:r w:rsidR="00B23F76" w:rsidRPr="00510321">
        <w:rPr>
          <w:b/>
          <w:bdr w:val="none" w:sz="0" w:space="0" w:color="auto" w:frame="1"/>
        </w:rPr>
        <w:t>.</w:t>
      </w:r>
      <w:r w:rsidR="0095600C" w:rsidRPr="00FC5A5A">
        <w:rPr>
          <w:lang w:val="uk-UA"/>
        </w:rPr>
        <w:t xml:space="preserve"> по коду ДК:021:2015: </w:t>
      </w:r>
      <w:r w:rsidR="00B23F76" w:rsidRPr="00510321">
        <w:rPr>
          <w:bCs/>
          <w:iCs/>
        </w:rPr>
        <w:t>35710000-4 – Системи керування, контролю, зв’язку та комп’ютерні системи</w:t>
      </w:r>
      <w:r w:rsidR="000567F4" w:rsidRPr="00FC5A5A">
        <w:rPr>
          <w:lang w:val="uk-UA"/>
        </w:rPr>
        <w:t>)</w:t>
      </w:r>
      <w:r w:rsidR="00A76A27" w:rsidRPr="00FC5A5A">
        <w:rPr>
          <w:lang w:val="uk-UA"/>
        </w:rPr>
        <w:t xml:space="preserve"> </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6448"/>
        <w:gridCol w:w="1561"/>
        <w:gridCol w:w="1276"/>
      </w:tblGrid>
      <w:tr w:rsidR="009A1DA2" w:rsidRPr="00FC5A5A" w:rsidTr="009A1DA2">
        <w:tc>
          <w:tcPr>
            <w:tcW w:w="306" w:type="pct"/>
            <w:tcBorders>
              <w:top w:val="single" w:sz="4" w:space="0" w:color="auto"/>
              <w:left w:val="single" w:sz="4" w:space="0" w:color="auto"/>
              <w:bottom w:val="single" w:sz="4" w:space="0" w:color="auto"/>
              <w:right w:val="single" w:sz="4" w:space="0" w:color="auto"/>
            </w:tcBorders>
            <w:vAlign w:val="center"/>
            <w:hideMark/>
          </w:tcPr>
          <w:p w:rsidR="009A1DA2" w:rsidRPr="00FC5A5A" w:rsidRDefault="009A1DA2">
            <w:pPr>
              <w:jc w:val="center"/>
              <w:rPr>
                <w:lang w:val="uk-UA"/>
              </w:rPr>
            </w:pPr>
            <w:r w:rsidRPr="00FC5A5A">
              <w:rPr>
                <w:lang w:val="uk-UA"/>
              </w:rPr>
              <w:t>№</w:t>
            </w:r>
          </w:p>
        </w:tc>
        <w:tc>
          <w:tcPr>
            <w:tcW w:w="3260" w:type="pct"/>
            <w:tcBorders>
              <w:top w:val="single" w:sz="4" w:space="0" w:color="auto"/>
              <w:left w:val="single" w:sz="4" w:space="0" w:color="auto"/>
              <w:bottom w:val="single" w:sz="4" w:space="0" w:color="auto"/>
              <w:right w:val="single" w:sz="4" w:space="0" w:color="auto"/>
            </w:tcBorders>
            <w:vAlign w:val="center"/>
            <w:hideMark/>
          </w:tcPr>
          <w:p w:rsidR="009A1DA2" w:rsidRPr="00FC5A5A" w:rsidRDefault="009A1DA2" w:rsidP="00C80F13">
            <w:pPr>
              <w:jc w:val="center"/>
              <w:rPr>
                <w:lang w:val="uk-UA"/>
              </w:rPr>
            </w:pPr>
            <w:r w:rsidRPr="00FC5A5A">
              <w:rPr>
                <w:b/>
                <w:lang w:val="uk-UA"/>
              </w:rPr>
              <w:t>Найменування предмета закупівлі</w:t>
            </w:r>
          </w:p>
        </w:tc>
        <w:tc>
          <w:tcPr>
            <w:tcW w:w="789" w:type="pct"/>
            <w:tcBorders>
              <w:top w:val="single" w:sz="4" w:space="0" w:color="auto"/>
              <w:left w:val="single" w:sz="4" w:space="0" w:color="auto"/>
              <w:bottom w:val="single" w:sz="4" w:space="0" w:color="auto"/>
              <w:right w:val="single" w:sz="4" w:space="0" w:color="auto"/>
            </w:tcBorders>
            <w:vAlign w:val="center"/>
            <w:hideMark/>
          </w:tcPr>
          <w:p w:rsidR="009A1DA2" w:rsidRPr="00FC5A5A" w:rsidRDefault="009A1DA2">
            <w:pPr>
              <w:jc w:val="center"/>
              <w:rPr>
                <w:lang w:val="uk-UA"/>
              </w:rPr>
            </w:pPr>
            <w:r w:rsidRPr="00FC5A5A">
              <w:rPr>
                <w:b/>
                <w:lang w:val="uk-UA"/>
              </w:rPr>
              <w:t>Одиниця виміру</w:t>
            </w:r>
          </w:p>
        </w:tc>
        <w:tc>
          <w:tcPr>
            <w:tcW w:w="645" w:type="pct"/>
            <w:tcBorders>
              <w:top w:val="single" w:sz="4" w:space="0" w:color="auto"/>
              <w:left w:val="single" w:sz="4" w:space="0" w:color="auto"/>
              <w:bottom w:val="single" w:sz="4" w:space="0" w:color="auto"/>
              <w:right w:val="single" w:sz="4" w:space="0" w:color="auto"/>
            </w:tcBorders>
          </w:tcPr>
          <w:p w:rsidR="009A1DA2" w:rsidRPr="00FC5A5A" w:rsidRDefault="009A1DA2">
            <w:pPr>
              <w:jc w:val="center"/>
              <w:rPr>
                <w:b/>
                <w:lang w:val="uk-UA"/>
              </w:rPr>
            </w:pPr>
            <w:r w:rsidRPr="00FC5A5A">
              <w:rPr>
                <w:b/>
                <w:lang w:val="uk-UA"/>
              </w:rPr>
              <w:t>Кількість</w:t>
            </w:r>
          </w:p>
        </w:tc>
      </w:tr>
      <w:tr w:rsidR="009A1DA2" w:rsidRPr="00FC5A5A" w:rsidTr="009A1DA2">
        <w:trPr>
          <w:trHeight w:val="375"/>
        </w:trPr>
        <w:tc>
          <w:tcPr>
            <w:tcW w:w="306" w:type="pct"/>
            <w:tcBorders>
              <w:top w:val="single" w:sz="4" w:space="0" w:color="auto"/>
              <w:left w:val="single" w:sz="4" w:space="0" w:color="auto"/>
              <w:bottom w:val="single" w:sz="4" w:space="0" w:color="auto"/>
              <w:right w:val="single" w:sz="4" w:space="0" w:color="auto"/>
            </w:tcBorders>
            <w:vAlign w:val="center"/>
            <w:hideMark/>
          </w:tcPr>
          <w:p w:rsidR="009A1DA2" w:rsidRPr="00FC5A5A" w:rsidRDefault="009A1DA2">
            <w:pPr>
              <w:jc w:val="center"/>
              <w:rPr>
                <w:lang w:val="uk-UA"/>
              </w:rPr>
            </w:pPr>
            <w:r w:rsidRPr="00FC5A5A">
              <w:rPr>
                <w:lang w:val="uk-UA"/>
              </w:rPr>
              <w:t>1</w:t>
            </w:r>
          </w:p>
        </w:tc>
        <w:tc>
          <w:tcPr>
            <w:tcW w:w="3260" w:type="pct"/>
            <w:tcBorders>
              <w:top w:val="single" w:sz="4" w:space="0" w:color="auto"/>
              <w:left w:val="single" w:sz="4" w:space="0" w:color="auto"/>
              <w:bottom w:val="single" w:sz="4" w:space="0" w:color="auto"/>
              <w:right w:val="single" w:sz="4" w:space="0" w:color="auto"/>
            </w:tcBorders>
            <w:vAlign w:val="center"/>
            <w:hideMark/>
          </w:tcPr>
          <w:p w:rsidR="009A1DA2" w:rsidRPr="00B23F76" w:rsidRDefault="00B23F76">
            <w:pPr>
              <w:rPr>
                <w:lang w:val="uk-UA" w:eastAsia="en-US"/>
              </w:rPr>
            </w:pPr>
            <w:r w:rsidRPr="00B23F76">
              <w:rPr>
                <w:b/>
                <w:bdr w:val="none" w:sz="0" w:space="0" w:color="auto" w:frame="1"/>
                <w:lang w:val="uk-UA"/>
              </w:rPr>
              <w:t>Полігонне обладнання спеціального призначення в складі: пристрій підйому мішені (ППМ – 20) в комплекті з перетворювачем визначення влучень електронним-вібраційним, ліхтарем спалахів, підсвітки мішеней та інфрачервоним ліхтарем, приймальною антеною та внутрішнім акумулятором 12В*12А/год.</w:t>
            </w:r>
          </w:p>
        </w:tc>
        <w:tc>
          <w:tcPr>
            <w:tcW w:w="789" w:type="pct"/>
            <w:tcBorders>
              <w:top w:val="single" w:sz="4" w:space="0" w:color="auto"/>
              <w:left w:val="single" w:sz="4" w:space="0" w:color="auto"/>
              <w:bottom w:val="single" w:sz="4" w:space="0" w:color="auto"/>
              <w:right w:val="single" w:sz="4" w:space="0" w:color="auto"/>
            </w:tcBorders>
            <w:vAlign w:val="bottom"/>
            <w:hideMark/>
          </w:tcPr>
          <w:p w:rsidR="009A1DA2" w:rsidRPr="00FC5A5A" w:rsidRDefault="007F5EFC" w:rsidP="00FC5A5A">
            <w:pPr>
              <w:jc w:val="center"/>
              <w:rPr>
                <w:b/>
                <w:bCs/>
                <w:lang w:val="uk-UA" w:eastAsia="en-US"/>
              </w:rPr>
            </w:pPr>
            <w:r>
              <w:rPr>
                <w:rFonts w:eastAsia="Times New Roman"/>
                <w:b/>
                <w:bCs/>
                <w:lang w:val="uk-UA"/>
              </w:rPr>
              <w:t>ш</w:t>
            </w:r>
            <w:r w:rsidR="00844CB7" w:rsidRPr="00FC5A5A">
              <w:rPr>
                <w:rFonts w:eastAsia="Times New Roman"/>
                <w:b/>
                <w:bCs/>
                <w:lang w:val="uk-UA"/>
              </w:rPr>
              <w:t>т</w:t>
            </w:r>
            <w:r>
              <w:rPr>
                <w:rFonts w:eastAsia="Times New Roman"/>
                <w:b/>
                <w:bCs/>
                <w:lang w:val="uk-UA"/>
              </w:rPr>
              <w:t>.</w:t>
            </w:r>
          </w:p>
        </w:tc>
        <w:tc>
          <w:tcPr>
            <w:tcW w:w="645" w:type="pct"/>
            <w:tcBorders>
              <w:top w:val="single" w:sz="4" w:space="0" w:color="auto"/>
              <w:left w:val="single" w:sz="4" w:space="0" w:color="auto"/>
              <w:bottom w:val="single" w:sz="4" w:space="0" w:color="auto"/>
              <w:right w:val="single" w:sz="4" w:space="0" w:color="auto"/>
            </w:tcBorders>
          </w:tcPr>
          <w:p w:rsidR="0011457A" w:rsidRPr="00FC5A5A" w:rsidRDefault="0011457A" w:rsidP="00A235E3">
            <w:pPr>
              <w:jc w:val="center"/>
              <w:rPr>
                <w:rFonts w:eastAsia="Times New Roman"/>
                <w:b/>
                <w:bCs/>
                <w:lang w:val="uk-UA"/>
              </w:rPr>
            </w:pPr>
          </w:p>
          <w:p w:rsidR="009A1DA2" w:rsidRPr="00FC5A5A" w:rsidRDefault="00844CB7" w:rsidP="00A235E3">
            <w:pPr>
              <w:jc w:val="center"/>
              <w:rPr>
                <w:rFonts w:eastAsia="Times New Roman"/>
                <w:b/>
                <w:bCs/>
                <w:lang w:val="uk-UA"/>
              </w:rPr>
            </w:pPr>
            <w:r w:rsidRPr="00FC5A5A">
              <w:rPr>
                <w:rFonts w:eastAsia="Times New Roman"/>
                <w:b/>
                <w:bCs/>
                <w:lang w:val="uk-UA"/>
              </w:rPr>
              <w:t>10</w:t>
            </w:r>
          </w:p>
        </w:tc>
      </w:tr>
    </w:tbl>
    <w:p w:rsidR="004A2FA1" w:rsidRPr="00FC5A5A" w:rsidRDefault="004A2FA1" w:rsidP="004A2FA1">
      <w:pPr>
        <w:jc w:val="both"/>
        <w:rPr>
          <w:lang w:val="uk-UA"/>
        </w:rPr>
      </w:pPr>
      <w:r w:rsidRPr="00FC5A5A">
        <w:rPr>
          <w:lang w:val="uk-UA"/>
        </w:rPr>
        <w:t>1.</w:t>
      </w:r>
      <w:r w:rsidR="00980854" w:rsidRPr="00FC5A5A">
        <w:rPr>
          <w:lang w:val="uk-UA"/>
        </w:rPr>
        <w:t xml:space="preserve"> </w:t>
      </w:r>
      <w:r w:rsidRPr="00FC5A5A">
        <w:rPr>
          <w:lang w:val="uk-UA"/>
        </w:rPr>
        <w:t xml:space="preserve">Назва та адреса Замовника: Військова частина 3002 Національної гвардії України, </w:t>
      </w:r>
      <w:r w:rsidRPr="00FC5A5A">
        <w:rPr>
          <w:color w:val="000000"/>
          <w:shd w:val="clear" w:color="auto" w:fill="FFFFFF"/>
          <w:lang w:val="uk-UA"/>
        </w:rPr>
        <w:t>місто Львів</w:t>
      </w:r>
      <w:r w:rsidRPr="00FC5A5A">
        <w:rPr>
          <w:lang w:val="uk-UA"/>
        </w:rPr>
        <w:t>.</w:t>
      </w:r>
    </w:p>
    <w:p w:rsidR="004A2FA1" w:rsidRPr="00FC5A5A" w:rsidRDefault="004A2FA1" w:rsidP="004A2FA1">
      <w:pPr>
        <w:jc w:val="both"/>
        <w:rPr>
          <w:lang w:val="uk-UA"/>
        </w:rPr>
      </w:pPr>
      <w:r w:rsidRPr="00FC5A5A">
        <w:rPr>
          <w:lang w:val="uk-UA"/>
        </w:rPr>
        <w:t>2.</w:t>
      </w:r>
      <w:r w:rsidR="00980854" w:rsidRPr="00FC5A5A">
        <w:rPr>
          <w:lang w:val="uk-UA"/>
        </w:rPr>
        <w:t xml:space="preserve"> </w:t>
      </w:r>
      <w:r w:rsidRPr="00FC5A5A">
        <w:rPr>
          <w:lang w:val="uk-UA"/>
        </w:rPr>
        <w:t>Джерело фінансування</w:t>
      </w:r>
      <w:r w:rsidR="00844CB7" w:rsidRPr="00FC5A5A">
        <w:rPr>
          <w:lang w:val="uk-UA"/>
        </w:rPr>
        <w:t>:</w:t>
      </w:r>
      <w:r w:rsidRPr="00FC5A5A">
        <w:rPr>
          <w:lang w:val="uk-UA"/>
        </w:rPr>
        <w:t xml:space="preserve"> </w:t>
      </w:r>
      <w:r w:rsidR="00844CB7" w:rsidRPr="00FC5A5A">
        <w:rPr>
          <w:lang w:val="uk-UA"/>
        </w:rPr>
        <w:t xml:space="preserve">кошти загального фонду державного </w:t>
      </w:r>
      <w:r w:rsidRPr="00FC5A5A">
        <w:rPr>
          <w:lang w:val="uk-UA"/>
        </w:rPr>
        <w:t>бюджет</w:t>
      </w:r>
      <w:r w:rsidR="00225AFB" w:rsidRPr="00FC5A5A">
        <w:rPr>
          <w:lang w:val="uk-UA"/>
        </w:rPr>
        <w:t>у</w:t>
      </w:r>
      <w:r w:rsidRPr="00FC5A5A">
        <w:rPr>
          <w:lang w:val="uk-UA"/>
        </w:rPr>
        <w:t>.</w:t>
      </w:r>
    </w:p>
    <w:p w:rsidR="00B2584E" w:rsidRPr="00FC5A5A" w:rsidRDefault="00B2584E" w:rsidP="009A1DA2">
      <w:pPr>
        <w:rPr>
          <w:lang w:val="uk-UA"/>
        </w:rPr>
      </w:pPr>
      <w:r w:rsidRPr="00FC5A5A">
        <w:rPr>
          <w:lang w:val="uk-UA"/>
        </w:rPr>
        <w:t>3.</w:t>
      </w:r>
      <w:r w:rsidR="009A1DA2" w:rsidRPr="00FC5A5A">
        <w:rPr>
          <w:b/>
          <w:lang w:val="uk-UA"/>
        </w:rPr>
        <w:t xml:space="preserve"> </w:t>
      </w:r>
      <w:r w:rsidR="009A1DA2" w:rsidRPr="00FC5A5A">
        <w:rPr>
          <w:bCs/>
          <w:lang w:val="uk-UA"/>
        </w:rPr>
        <w:t>Місце постачання:</w:t>
      </w:r>
      <w:r w:rsidR="009A1DA2" w:rsidRPr="00FC5A5A">
        <w:rPr>
          <w:iCs/>
          <w:lang w:val="uk-UA" w:eastAsia="uk-UA"/>
        </w:rPr>
        <w:t xml:space="preserve"> 79060, Україна, Львівська область, </w:t>
      </w:r>
      <w:r w:rsidR="009A1DA2" w:rsidRPr="00FC5A5A">
        <w:rPr>
          <w:b/>
          <w:bCs/>
          <w:iCs/>
          <w:lang w:val="uk-UA" w:eastAsia="uk-UA"/>
        </w:rPr>
        <w:t>місто Львів</w:t>
      </w:r>
    </w:p>
    <w:p w:rsidR="004A2FA1" w:rsidRPr="00FC5A5A" w:rsidRDefault="0011457A" w:rsidP="004A2FA1">
      <w:pPr>
        <w:jc w:val="both"/>
        <w:rPr>
          <w:bCs/>
          <w:lang w:val="uk-UA"/>
        </w:rPr>
      </w:pPr>
      <w:r w:rsidRPr="00FC5A5A">
        <w:rPr>
          <w:bCs/>
          <w:lang w:val="uk-UA"/>
        </w:rPr>
        <w:t>4</w:t>
      </w:r>
      <w:r w:rsidR="004A2FA1" w:rsidRPr="00FC5A5A">
        <w:rPr>
          <w:bCs/>
          <w:lang w:val="uk-UA"/>
        </w:rPr>
        <w:t xml:space="preserve">. </w:t>
      </w:r>
      <w:r w:rsidR="004A2FA1" w:rsidRPr="00FC5A5A">
        <w:rPr>
          <w:rFonts w:eastAsia="Times New Roman"/>
          <w:bCs/>
          <w:color w:val="000000"/>
          <w:lang w:val="uk-UA"/>
        </w:rPr>
        <w:t xml:space="preserve">Очікувана вартість предмета закупівлі: </w:t>
      </w:r>
      <w:r w:rsidR="00844CB7" w:rsidRPr="00FC5A5A">
        <w:rPr>
          <w:rFonts w:eastAsia="Times New Roman"/>
          <w:b/>
          <w:iCs/>
          <w:color w:val="000000"/>
          <w:u w:val="single"/>
          <w:lang w:val="uk-UA"/>
        </w:rPr>
        <w:t>2</w:t>
      </w:r>
      <w:r w:rsidR="00B23F76">
        <w:rPr>
          <w:rFonts w:eastAsia="Times New Roman"/>
          <w:b/>
          <w:iCs/>
          <w:color w:val="000000"/>
          <w:u w:val="single"/>
          <w:lang w:val="uk-UA"/>
        </w:rPr>
        <w:t>64</w:t>
      </w:r>
      <w:r w:rsidR="00225AFB" w:rsidRPr="00FC5A5A">
        <w:rPr>
          <w:rFonts w:eastAsia="Times New Roman"/>
          <w:b/>
          <w:iCs/>
          <w:color w:val="000000"/>
          <w:u w:val="single"/>
          <w:lang w:val="uk-UA"/>
        </w:rPr>
        <w:t xml:space="preserve"> </w:t>
      </w:r>
      <w:r w:rsidR="00B23F76">
        <w:rPr>
          <w:rFonts w:eastAsia="Times New Roman"/>
          <w:b/>
          <w:iCs/>
          <w:color w:val="000000"/>
          <w:u w:val="single"/>
          <w:lang w:val="uk-UA"/>
        </w:rPr>
        <w:t>96</w:t>
      </w:r>
      <w:r w:rsidR="00225AFB" w:rsidRPr="00FC5A5A">
        <w:rPr>
          <w:rFonts w:eastAsia="Times New Roman"/>
          <w:b/>
          <w:iCs/>
          <w:color w:val="000000"/>
          <w:u w:val="single"/>
          <w:lang w:val="uk-UA"/>
        </w:rPr>
        <w:t>0</w:t>
      </w:r>
      <w:r w:rsidR="004A2FA1" w:rsidRPr="00FC5A5A">
        <w:rPr>
          <w:rFonts w:eastAsia="Times New Roman"/>
          <w:b/>
          <w:iCs/>
          <w:color w:val="000000"/>
          <w:u w:val="single"/>
          <w:lang w:val="uk-UA"/>
        </w:rPr>
        <w:t xml:space="preserve"> </w:t>
      </w:r>
      <w:r w:rsidR="004A2FA1" w:rsidRPr="00FC5A5A">
        <w:rPr>
          <w:b/>
          <w:u w:val="single"/>
          <w:lang w:val="uk-UA"/>
        </w:rPr>
        <w:t>грн. 00 коп</w:t>
      </w:r>
      <w:r w:rsidR="00225AFB" w:rsidRPr="00FC5A5A">
        <w:rPr>
          <w:b/>
          <w:u w:val="single"/>
          <w:lang w:val="uk-UA"/>
        </w:rPr>
        <w:t>.</w:t>
      </w:r>
      <w:r w:rsidR="004A2FA1" w:rsidRPr="00FC5A5A">
        <w:rPr>
          <w:b/>
          <w:u w:val="single"/>
          <w:lang w:val="uk-UA"/>
        </w:rPr>
        <w:t xml:space="preserve"> </w:t>
      </w:r>
    </w:p>
    <w:p w:rsidR="004A2FA1" w:rsidRPr="00FC5A5A" w:rsidRDefault="0011457A" w:rsidP="004A2FA1">
      <w:pPr>
        <w:jc w:val="both"/>
        <w:rPr>
          <w:b/>
          <w:bCs/>
          <w:lang w:val="uk-UA"/>
        </w:rPr>
      </w:pPr>
      <w:r w:rsidRPr="00FC5A5A">
        <w:rPr>
          <w:lang w:val="uk-UA"/>
        </w:rPr>
        <w:t>5</w:t>
      </w:r>
      <w:r w:rsidR="004A2FA1" w:rsidRPr="00FC5A5A">
        <w:rPr>
          <w:lang w:val="uk-UA"/>
        </w:rPr>
        <w:t>. Вартість пос</w:t>
      </w:r>
      <w:r w:rsidR="0050731D" w:rsidRPr="00FC5A5A">
        <w:rPr>
          <w:lang w:val="uk-UA"/>
        </w:rPr>
        <w:t>тачання</w:t>
      </w:r>
      <w:r w:rsidR="004A2FA1" w:rsidRPr="00FC5A5A">
        <w:rPr>
          <w:lang w:val="uk-UA"/>
        </w:rPr>
        <w:t xml:space="preserve"> </w:t>
      </w:r>
      <w:r w:rsidR="0050731D" w:rsidRPr="00FC5A5A">
        <w:rPr>
          <w:lang w:val="uk-UA"/>
        </w:rPr>
        <w:t xml:space="preserve">товару </w:t>
      </w:r>
      <w:r w:rsidR="004A2FA1" w:rsidRPr="00FC5A5A">
        <w:rPr>
          <w:lang w:val="uk-UA"/>
        </w:rPr>
        <w:t>повинна включати усі витрати Учасника закупівлі</w:t>
      </w:r>
      <w:r w:rsidR="004A2FA1" w:rsidRPr="00FC5A5A">
        <w:rPr>
          <w:b/>
          <w:bCs/>
          <w:lang w:val="uk-UA"/>
        </w:rPr>
        <w:t xml:space="preserve">. </w:t>
      </w:r>
    </w:p>
    <w:p w:rsidR="00806012" w:rsidRPr="00FC5A5A" w:rsidRDefault="004A2FA1" w:rsidP="00806012">
      <w:pPr>
        <w:jc w:val="both"/>
        <w:rPr>
          <w:b/>
          <w:lang w:val="uk-UA"/>
        </w:rPr>
      </w:pPr>
      <w:r w:rsidRPr="00FC5A5A">
        <w:rPr>
          <w:lang w:val="uk-UA"/>
        </w:rPr>
        <w:t xml:space="preserve">6. </w:t>
      </w:r>
      <w:r w:rsidR="00FF0A7D" w:rsidRPr="00FC5A5A">
        <w:rPr>
          <w:lang w:val="uk-UA"/>
        </w:rPr>
        <w:t>Термін</w:t>
      </w:r>
      <w:r w:rsidRPr="00FC5A5A">
        <w:rPr>
          <w:lang w:val="uk-UA"/>
        </w:rPr>
        <w:t xml:space="preserve"> </w:t>
      </w:r>
      <w:r w:rsidR="0050731D" w:rsidRPr="00FC5A5A">
        <w:rPr>
          <w:lang w:val="uk-UA"/>
        </w:rPr>
        <w:t>постачання товару</w:t>
      </w:r>
      <w:r w:rsidR="00C80F13" w:rsidRPr="00FC5A5A">
        <w:rPr>
          <w:lang w:val="uk-UA"/>
        </w:rPr>
        <w:t>:</w:t>
      </w:r>
      <w:r w:rsidR="0050731D" w:rsidRPr="00FC5A5A">
        <w:rPr>
          <w:b/>
          <w:lang w:val="uk-UA"/>
        </w:rPr>
        <w:t xml:space="preserve"> </w:t>
      </w:r>
      <w:r w:rsidR="00806012" w:rsidRPr="00FC5A5A">
        <w:rPr>
          <w:b/>
          <w:lang w:val="uk-UA"/>
        </w:rPr>
        <w:t>партіями, за заявками Замовника (</w:t>
      </w:r>
      <w:r w:rsidR="00806012" w:rsidRPr="00FC5A5A">
        <w:rPr>
          <w:lang w:val="uk-UA"/>
        </w:rPr>
        <w:t xml:space="preserve">що погоджуються сторонами), але </w:t>
      </w:r>
      <w:r w:rsidR="00806012" w:rsidRPr="00FC5A5A">
        <w:rPr>
          <w:b/>
          <w:bCs/>
          <w:lang w:val="uk-UA"/>
        </w:rPr>
        <w:t xml:space="preserve">не пізніше </w:t>
      </w:r>
      <w:r w:rsidR="00B23F76">
        <w:rPr>
          <w:b/>
          <w:bCs/>
          <w:lang w:val="uk-UA"/>
        </w:rPr>
        <w:t>3</w:t>
      </w:r>
      <w:r w:rsidR="00806012" w:rsidRPr="00FC5A5A">
        <w:rPr>
          <w:b/>
          <w:bCs/>
          <w:lang w:val="uk-UA"/>
        </w:rPr>
        <w:t>1.</w:t>
      </w:r>
      <w:r w:rsidR="00B23F76">
        <w:rPr>
          <w:b/>
          <w:bCs/>
          <w:lang w:val="uk-UA"/>
        </w:rPr>
        <w:t>1</w:t>
      </w:r>
      <w:r w:rsidR="00806012" w:rsidRPr="00FC5A5A">
        <w:rPr>
          <w:b/>
          <w:bCs/>
          <w:lang w:val="uk-UA"/>
        </w:rPr>
        <w:t>0.2024.</w:t>
      </w:r>
    </w:p>
    <w:p w:rsidR="009559D4" w:rsidRPr="00557F84" w:rsidRDefault="009559D4" w:rsidP="00806012">
      <w:pPr>
        <w:jc w:val="center"/>
        <w:rPr>
          <w:lang w:val="uk-UA"/>
        </w:rPr>
      </w:pPr>
      <w:r w:rsidRPr="00557F84">
        <w:rPr>
          <w:lang w:val="uk-UA"/>
        </w:rPr>
        <w:t>ТЕХНІЧНІ ХАРАКТЕРИСТИКИ:</w:t>
      </w:r>
    </w:p>
    <w:p w:rsidR="00B23F76" w:rsidRPr="00557F84" w:rsidRDefault="00B23F76" w:rsidP="00B30002">
      <w:pPr>
        <w:rPr>
          <w:lang w:val="uk-UA"/>
        </w:rPr>
      </w:pPr>
      <w:bookmarkStart w:id="0" w:name="_Hlk156340686"/>
      <w:r w:rsidRPr="00557F84">
        <w:rPr>
          <w:lang w:val="uk-UA"/>
        </w:rPr>
        <w:t>Вимоги до завадозахищеності та електромагнітної сумісності повинні відповідати розділу 5 ТОСТ В 20.39.308-76 та виконуватися шляхом таких конструктивних та технічних рішень:</w:t>
      </w:r>
    </w:p>
    <w:p w:rsidR="00B23F76" w:rsidRPr="00557F84" w:rsidRDefault="00B23F76" w:rsidP="00B30002">
      <w:pPr>
        <w:ind w:left="-284" w:firstLine="284"/>
        <w:rPr>
          <w:lang w:val="uk-UA"/>
        </w:rPr>
      </w:pPr>
      <w:r w:rsidRPr="00557F84">
        <w:rPr>
          <w:lang w:val="uk-UA"/>
        </w:rPr>
        <w:t>- корпуси складових частин повинні бути металевими;</w:t>
      </w:r>
    </w:p>
    <w:p w:rsidR="00B23F76" w:rsidRPr="00557F84" w:rsidRDefault="00B23F76" w:rsidP="00B30002">
      <w:pPr>
        <w:ind w:left="-284" w:firstLine="284"/>
        <w:rPr>
          <w:lang w:val="uk-UA"/>
        </w:rPr>
      </w:pPr>
      <w:r w:rsidRPr="00557F84">
        <w:rPr>
          <w:lang w:val="uk-UA"/>
        </w:rPr>
        <w:t>- на корпусах повинні бути передбачені клеми заземлення;</w:t>
      </w:r>
    </w:p>
    <w:p w:rsidR="00B23F76" w:rsidRPr="00557F84" w:rsidRDefault="00B23F76" w:rsidP="00B30002">
      <w:pPr>
        <w:ind w:left="-284" w:firstLine="284"/>
        <w:rPr>
          <w:lang w:val="uk-UA"/>
        </w:rPr>
      </w:pPr>
      <w:r w:rsidRPr="00557F84">
        <w:rPr>
          <w:lang w:val="uk-UA"/>
        </w:rPr>
        <w:t>- силові та сигнальні кабелі повинні бути розміщені в екранах;</w:t>
      </w:r>
    </w:p>
    <w:p w:rsidR="00B30002" w:rsidRDefault="00B23F76" w:rsidP="00B30002">
      <w:pPr>
        <w:ind w:left="-284" w:firstLine="284"/>
        <w:rPr>
          <w:lang w:val="uk-UA"/>
        </w:rPr>
      </w:pPr>
      <w:r w:rsidRPr="00557F84">
        <w:rPr>
          <w:lang w:val="uk-UA"/>
        </w:rPr>
        <w:t xml:space="preserve">- в мережі первинного електроживлення повинні застосовуватись фільтри, що перешкоджають </w:t>
      </w:r>
      <w:r w:rsidR="00B30002">
        <w:rPr>
          <w:lang w:val="uk-UA"/>
        </w:rPr>
        <w:t xml:space="preserve"> </w:t>
      </w:r>
    </w:p>
    <w:p w:rsidR="00B23F76" w:rsidRPr="00557F84" w:rsidRDefault="00B23F76" w:rsidP="00B30002">
      <w:pPr>
        <w:ind w:left="-284" w:firstLine="284"/>
        <w:rPr>
          <w:lang w:val="uk-UA"/>
        </w:rPr>
      </w:pPr>
      <w:r w:rsidRPr="00557F84">
        <w:rPr>
          <w:lang w:val="uk-UA"/>
        </w:rPr>
        <w:t>поширенню завад.</w:t>
      </w:r>
    </w:p>
    <w:p w:rsidR="00B23F76" w:rsidRPr="00557F84" w:rsidRDefault="00B23F76" w:rsidP="00B30002">
      <w:pPr>
        <w:rPr>
          <w:lang w:val="uk-UA"/>
        </w:rPr>
      </w:pPr>
      <w:r w:rsidRPr="00557F84">
        <w:rPr>
          <w:lang w:val="uk-UA"/>
        </w:rPr>
        <w:t xml:space="preserve">Рівень завад, який створюється мішеневим обладнанням не повинен перевищувати норми згідно з ГОСТ В 25803-91. </w:t>
      </w:r>
    </w:p>
    <w:p w:rsidR="00B23F76" w:rsidRPr="00557F84" w:rsidRDefault="00B23F76" w:rsidP="00B30002">
      <w:pPr>
        <w:rPr>
          <w:lang w:val="uk-UA"/>
        </w:rPr>
      </w:pPr>
      <w:r w:rsidRPr="00557F84">
        <w:rPr>
          <w:lang w:val="uk-UA"/>
        </w:rPr>
        <w:t xml:space="preserve">Працездатність обладнання повинна зберігатися в діапазоні температур від -35 до +50 градусів за Цельсієм та відносній вологості 40-100%. </w:t>
      </w:r>
    </w:p>
    <w:p w:rsidR="00B23F76" w:rsidRPr="00557F84" w:rsidRDefault="00B23F76" w:rsidP="00B30002">
      <w:pPr>
        <w:rPr>
          <w:lang w:val="uk-UA"/>
        </w:rPr>
      </w:pPr>
      <w:r w:rsidRPr="00557F84">
        <w:rPr>
          <w:lang w:val="uk-UA"/>
        </w:rPr>
        <w:t>Система керування повинна забезпечувати надійне управління виконавчими пристроями на віддалі до 3000 метрів (1000 метрів для переносних пультів), функціонувати в умовах впливу електромагнітних полів, що утворюються грозовими розрядами, лініями електропередач, розрядами статичної електрики, які можуть накопичуватись на зразках, а також індустріальних радіовипромінювань та полів радіотехнічної апаратури загального призначення. При цьому ступінь жорсткості випробувань встановлюється:</w:t>
      </w:r>
    </w:p>
    <w:p w:rsidR="00B23F76" w:rsidRPr="00557F84" w:rsidRDefault="00B23F76" w:rsidP="00B30002">
      <w:pPr>
        <w:ind w:left="-567" w:firstLine="709"/>
        <w:rPr>
          <w:lang w:val="uk-UA"/>
        </w:rPr>
      </w:pPr>
      <w:r w:rsidRPr="00557F84">
        <w:rPr>
          <w:lang w:val="uk-UA"/>
        </w:rPr>
        <w:t>- на грозостійкість - перша (згідно з ДСТУ3681-98);</w:t>
      </w:r>
    </w:p>
    <w:p w:rsidR="00B30002" w:rsidRDefault="00B23F76" w:rsidP="00B30002">
      <w:pPr>
        <w:ind w:left="-709" w:firstLine="709"/>
        <w:rPr>
          <w:lang w:val="uk-UA"/>
        </w:rPr>
      </w:pPr>
      <w:r w:rsidRPr="00557F84">
        <w:rPr>
          <w:lang w:val="uk-UA"/>
        </w:rPr>
        <w:t xml:space="preserve">- електромагнітного поля від високовольтних ліній електропередавання - перша (згідно з </w:t>
      </w:r>
    </w:p>
    <w:p w:rsidR="00B23F76" w:rsidRPr="00557F84" w:rsidRDefault="00B23F76" w:rsidP="00B30002">
      <w:pPr>
        <w:ind w:left="-709" w:firstLine="709"/>
        <w:rPr>
          <w:lang w:val="uk-UA"/>
        </w:rPr>
      </w:pPr>
      <w:r w:rsidRPr="00557F84">
        <w:rPr>
          <w:lang w:val="uk-UA"/>
        </w:rPr>
        <w:t>ДСТУ 3343-96);</w:t>
      </w:r>
    </w:p>
    <w:p w:rsidR="00B23F76" w:rsidRPr="00557F84" w:rsidRDefault="00B23F76" w:rsidP="00B30002">
      <w:pPr>
        <w:ind w:left="-567" w:firstLine="709"/>
        <w:rPr>
          <w:lang w:val="uk-UA"/>
        </w:rPr>
      </w:pPr>
      <w:r w:rsidRPr="00557F84">
        <w:rPr>
          <w:lang w:val="uk-UA"/>
        </w:rPr>
        <w:t>- на витривалість до електростатичних розрядів - перша (згідно з ГОСТ 29191-91).</w:t>
      </w:r>
    </w:p>
    <w:p w:rsidR="00B23F76" w:rsidRPr="00557F84" w:rsidRDefault="00B23F76" w:rsidP="00B30002">
      <w:pPr>
        <w:ind w:left="-567" w:firstLine="709"/>
        <w:rPr>
          <w:lang w:val="uk-UA"/>
        </w:rPr>
      </w:pPr>
      <w:r w:rsidRPr="00557F84">
        <w:rPr>
          <w:lang w:val="uk-UA"/>
        </w:rPr>
        <w:t xml:space="preserve">Система керування повинна : </w:t>
      </w:r>
    </w:p>
    <w:p w:rsidR="00B23F76" w:rsidRPr="00B30002" w:rsidRDefault="00B30002" w:rsidP="00B30002">
      <w:pPr>
        <w:rPr>
          <w:lang w:val="uk-UA"/>
        </w:rPr>
      </w:pPr>
      <w:r>
        <w:rPr>
          <w:lang w:val="uk-UA"/>
        </w:rPr>
        <w:t xml:space="preserve">- </w:t>
      </w:r>
      <w:r w:rsidR="00B23F76" w:rsidRPr="00B30002">
        <w:rPr>
          <w:lang w:val="uk-UA"/>
        </w:rPr>
        <w:t>забезпечувати одночасну роботу що найменше 5 груп мішеневого обладнання з однотипних пультів керування без завад одне одному на одній ділянці;</w:t>
      </w:r>
    </w:p>
    <w:p w:rsidR="00B23F76" w:rsidRPr="00B30002" w:rsidRDefault="00B30002" w:rsidP="00B30002">
      <w:pPr>
        <w:rPr>
          <w:lang w:val="uk-UA"/>
        </w:rPr>
      </w:pPr>
      <w:r w:rsidRPr="00B30002">
        <w:rPr>
          <w:lang w:val="uk-UA"/>
        </w:rPr>
        <w:t xml:space="preserve">- </w:t>
      </w:r>
      <w:r w:rsidR="00B23F76" w:rsidRPr="00B30002">
        <w:rPr>
          <w:lang w:val="uk-UA"/>
        </w:rPr>
        <w:t>постійно здійснювати контроль за станом виконавчих пристроїв (їх положенням, кількістю влучань, кількістю підйомів-опускань, станом зарядженості акумуляторів);</w:t>
      </w:r>
    </w:p>
    <w:p w:rsidR="00B23F76" w:rsidRPr="00B30002" w:rsidRDefault="00B30002" w:rsidP="00B30002">
      <w:pPr>
        <w:rPr>
          <w:lang w:val="uk-UA"/>
        </w:rPr>
      </w:pPr>
      <w:r>
        <w:rPr>
          <w:lang w:val="uk-UA"/>
        </w:rPr>
        <w:t xml:space="preserve">- </w:t>
      </w:r>
      <w:r w:rsidR="00B23F76" w:rsidRPr="00B30002">
        <w:rPr>
          <w:lang w:val="uk-UA"/>
        </w:rPr>
        <w:t>забезпечувати можливість встановлення наступних режимів роботи виконавчих пристроїв – опускання після влучання, опускання після визначеної кількості влучань (до 10), підрахунок влучань без опускання мішені;</w:t>
      </w:r>
    </w:p>
    <w:p w:rsidR="00B23F76" w:rsidRPr="00B30002" w:rsidRDefault="00B30002" w:rsidP="00B30002">
      <w:pPr>
        <w:rPr>
          <w:lang w:val="uk-UA"/>
        </w:rPr>
      </w:pPr>
      <w:r>
        <w:rPr>
          <w:lang w:val="uk-UA"/>
        </w:rPr>
        <w:t xml:space="preserve">- </w:t>
      </w:r>
      <w:r w:rsidR="00B23F76" w:rsidRPr="00B30002">
        <w:rPr>
          <w:lang w:val="uk-UA"/>
        </w:rPr>
        <w:t>давати можливість оперативно змінювати чутливість датчиків влучання, режим роботи ліхтарів імітації вогню противника та підсвічування мішеней;</w:t>
      </w:r>
    </w:p>
    <w:p w:rsidR="00B23F76" w:rsidRPr="00557F84" w:rsidRDefault="00B30002" w:rsidP="00B30002">
      <w:pPr>
        <w:pStyle w:val="a4"/>
        <w:ind w:left="0"/>
        <w:rPr>
          <w:lang w:val="uk-UA"/>
        </w:rPr>
      </w:pPr>
      <w:r>
        <w:rPr>
          <w:lang w:val="uk-UA"/>
        </w:rPr>
        <w:t xml:space="preserve">- </w:t>
      </w:r>
      <w:r w:rsidR="00B23F76" w:rsidRPr="00557F84">
        <w:rPr>
          <w:lang w:val="uk-UA"/>
        </w:rPr>
        <w:t>переводити виконавчі пристрої в режим енергозбереження при перервах в проведенні навчань чи стрільб та швидке (до 1 хв) переведення їх в робочий режим;</w:t>
      </w:r>
    </w:p>
    <w:p w:rsidR="00B23F76" w:rsidRPr="00557F84" w:rsidRDefault="00B30002" w:rsidP="00B30002">
      <w:pPr>
        <w:pStyle w:val="a4"/>
        <w:ind w:left="0"/>
        <w:rPr>
          <w:lang w:val="uk-UA"/>
        </w:rPr>
      </w:pPr>
      <w:r>
        <w:rPr>
          <w:lang w:val="uk-UA"/>
        </w:rPr>
        <w:lastRenderedPageBreak/>
        <w:t xml:space="preserve">- </w:t>
      </w:r>
      <w:r w:rsidR="00B23F76" w:rsidRPr="00557F84">
        <w:rPr>
          <w:lang w:val="uk-UA"/>
        </w:rPr>
        <w:t>мати можливість встановлювати не менше 10 різноманітних сценаріїв розміщення та порядку показу мішеней;</w:t>
      </w:r>
    </w:p>
    <w:p w:rsidR="00B23F76" w:rsidRPr="00557F84" w:rsidRDefault="00B30002" w:rsidP="00B30002">
      <w:pPr>
        <w:pStyle w:val="a4"/>
        <w:ind w:left="0"/>
        <w:rPr>
          <w:lang w:val="uk-UA"/>
        </w:rPr>
      </w:pPr>
      <w:r>
        <w:rPr>
          <w:lang w:val="uk-UA"/>
        </w:rPr>
        <w:t xml:space="preserve">- </w:t>
      </w:r>
      <w:r w:rsidR="00B23F76" w:rsidRPr="00557F84">
        <w:rPr>
          <w:lang w:val="uk-UA"/>
        </w:rPr>
        <w:t>керувати не менш чим 40 виконавчих пристроїв;</w:t>
      </w:r>
    </w:p>
    <w:p w:rsidR="00B23F76" w:rsidRPr="00557F84" w:rsidRDefault="00B23F76" w:rsidP="00B30002">
      <w:pPr>
        <w:ind w:left="-284" w:firstLine="284"/>
        <w:rPr>
          <w:lang w:val="uk-UA"/>
        </w:rPr>
      </w:pPr>
      <w:r w:rsidRPr="00557F84">
        <w:rPr>
          <w:lang w:val="uk-UA"/>
        </w:rPr>
        <w:t xml:space="preserve">Переносні пульти управління повинні забезпечувати пилевологозахист не нижче </w:t>
      </w:r>
      <w:r w:rsidRPr="00557F84">
        <w:rPr>
          <w:rFonts w:eastAsiaTheme="minorHAnsi"/>
          <w:lang w:val="uk-UA"/>
        </w:rPr>
        <w:t>IP67.</w:t>
      </w:r>
    </w:p>
    <w:p w:rsidR="00B30002" w:rsidRDefault="00B23F76" w:rsidP="00B30002">
      <w:pPr>
        <w:ind w:left="-284" w:firstLine="284"/>
        <w:rPr>
          <w:lang w:val="uk-UA"/>
        </w:rPr>
      </w:pPr>
      <w:r w:rsidRPr="00557F84">
        <w:rPr>
          <w:lang w:val="uk-UA"/>
        </w:rPr>
        <w:t xml:space="preserve">Виконавчі пристрої повинні забезпечувати піднімання та опускання легких, середніх та </w:t>
      </w:r>
    </w:p>
    <w:p w:rsidR="00B23F76" w:rsidRPr="00557F84" w:rsidRDefault="00B23F76" w:rsidP="00B30002">
      <w:pPr>
        <w:ind w:left="-284" w:firstLine="284"/>
        <w:rPr>
          <w:lang w:val="uk-UA"/>
        </w:rPr>
      </w:pPr>
      <w:r w:rsidRPr="00557F84">
        <w:rPr>
          <w:lang w:val="uk-UA"/>
        </w:rPr>
        <w:t>тяжких мішеней та мати наступні показники:</w:t>
      </w:r>
    </w:p>
    <w:tbl>
      <w:tblPr>
        <w:tblStyle w:val="a8"/>
        <w:tblW w:w="0" w:type="auto"/>
        <w:tblInd w:w="-601" w:type="dxa"/>
        <w:tblLook w:val="04A0" w:firstRow="1" w:lastRow="0" w:firstColumn="1" w:lastColumn="0" w:noHBand="0" w:noVBand="1"/>
      </w:tblPr>
      <w:tblGrid>
        <w:gridCol w:w="1974"/>
        <w:gridCol w:w="2256"/>
        <w:gridCol w:w="1339"/>
        <w:gridCol w:w="1415"/>
        <w:gridCol w:w="1818"/>
        <w:gridCol w:w="1823"/>
      </w:tblGrid>
      <w:tr w:rsidR="00B23F76" w:rsidRPr="00557F84" w:rsidTr="00B30002">
        <w:tc>
          <w:tcPr>
            <w:tcW w:w="1985" w:type="dxa"/>
          </w:tcPr>
          <w:p w:rsidR="00B23F76" w:rsidRPr="00557F84" w:rsidRDefault="00B23F76" w:rsidP="00120F3F">
            <w:pPr>
              <w:ind w:left="34"/>
              <w:rPr>
                <w:sz w:val="24"/>
                <w:szCs w:val="24"/>
                <w:lang w:val="uk-UA"/>
              </w:rPr>
            </w:pPr>
          </w:p>
        </w:tc>
        <w:tc>
          <w:tcPr>
            <w:tcW w:w="2268" w:type="dxa"/>
          </w:tcPr>
          <w:p w:rsidR="00B23F76" w:rsidRPr="00557F84" w:rsidRDefault="00B23F76" w:rsidP="00120F3F">
            <w:pPr>
              <w:ind w:left="33"/>
              <w:rPr>
                <w:sz w:val="24"/>
                <w:szCs w:val="24"/>
                <w:lang w:val="uk-UA"/>
              </w:rPr>
            </w:pPr>
            <w:r w:rsidRPr="00557F84">
              <w:rPr>
                <w:sz w:val="24"/>
                <w:szCs w:val="24"/>
                <w:lang w:val="uk-UA"/>
              </w:rPr>
              <w:t>Крутячий момент на валу кріплення мішені не менше N/m</w:t>
            </w:r>
          </w:p>
        </w:tc>
        <w:tc>
          <w:tcPr>
            <w:tcW w:w="851" w:type="dxa"/>
          </w:tcPr>
          <w:p w:rsidR="00B23F76" w:rsidRPr="00557F84" w:rsidRDefault="00B23F76" w:rsidP="00120F3F">
            <w:pPr>
              <w:ind w:hanging="16"/>
              <w:rPr>
                <w:sz w:val="24"/>
                <w:szCs w:val="24"/>
                <w:lang w:val="uk-UA"/>
              </w:rPr>
            </w:pPr>
            <w:r w:rsidRPr="00557F84">
              <w:rPr>
                <w:sz w:val="24"/>
                <w:szCs w:val="24"/>
                <w:lang w:val="uk-UA"/>
              </w:rPr>
              <w:t>Час піднімання</w:t>
            </w:r>
          </w:p>
          <w:p w:rsidR="00B23F76" w:rsidRPr="00557F84" w:rsidRDefault="00B23F76" w:rsidP="00120F3F">
            <w:pPr>
              <w:ind w:hanging="16"/>
              <w:rPr>
                <w:sz w:val="24"/>
                <w:szCs w:val="24"/>
                <w:lang w:val="uk-UA"/>
              </w:rPr>
            </w:pPr>
            <w:r w:rsidRPr="00557F84">
              <w:rPr>
                <w:sz w:val="24"/>
                <w:szCs w:val="24"/>
                <w:lang w:val="uk-UA"/>
              </w:rPr>
              <w:t>Сек.</w:t>
            </w:r>
          </w:p>
        </w:tc>
        <w:tc>
          <w:tcPr>
            <w:tcW w:w="1417" w:type="dxa"/>
          </w:tcPr>
          <w:p w:rsidR="00B23F76" w:rsidRPr="00557F84" w:rsidRDefault="00B23F76" w:rsidP="00120F3F">
            <w:pPr>
              <w:rPr>
                <w:sz w:val="24"/>
                <w:szCs w:val="24"/>
                <w:lang w:val="uk-UA"/>
              </w:rPr>
            </w:pPr>
            <w:r w:rsidRPr="00557F84">
              <w:rPr>
                <w:sz w:val="24"/>
                <w:szCs w:val="24"/>
                <w:lang w:val="uk-UA"/>
              </w:rPr>
              <w:t>Час опускання</w:t>
            </w:r>
          </w:p>
          <w:p w:rsidR="00B23F76" w:rsidRPr="00557F84" w:rsidRDefault="00B23F76" w:rsidP="00120F3F">
            <w:pPr>
              <w:rPr>
                <w:sz w:val="24"/>
                <w:szCs w:val="24"/>
                <w:lang w:val="uk-UA"/>
              </w:rPr>
            </w:pPr>
            <w:r w:rsidRPr="00557F84">
              <w:rPr>
                <w:sz w:val="24"/>
                <w:szCs w:val="24"/>
                <w:lang w:val="uk-UA"/>
              </w:rPr>
              <w:t>Сек.</w:t>
            </w:r>
          </w:p>
        </w:tc>
        <w:tc>
          <w:tcPr>
            <w:tcW w:w="1825" w:type="dxa"/>
          </w:tcPr>
          <w:p w:rsidR="00B23F76" w:rsidRPr="00557F84" w:rsidRDefault="00B23F76" w:rsidP="00120F3F">
            <w:pPr>
              <w:rPr>
                <w:sz w:val="24"/>
                <w:szCs w:val="24"/>
                <w:lang w:val="uk-UA"/>
              </w:rPr>
            </w:pPr>
            <w:r w:rsidRPr="00557F84">
              <w:rPr>
                <w:sz w:val="24"/>
                <w:szCs w:val="24"/>
                <w:lang w:val="uk-UA"/>
              </w:rPr>
              <w:t>Кількість циклів підйом-опускання від 1к-ту АКБ не менш</w:t>
            </w:r>
          </w:p>
        </w:tc>
        <w:tc>
          <w:tcPr>
            <w:tcW w:w="1826" w:type="dxa"/>
          </w:tcPr>
          <w:p w:rsidR="00B23F76" w:rsidRPr="00557F84" w:rsidRDefault="00B23F76" w:rsidP="00120F3F">
            <w:pPr>
              <w:ind w:left="21"/>
              <w:rPr>
                <w:sz w:val="24"/>
                <w:szCs w:val="24"/>
                <w:lang w:val="uk-UA"/>
              </w:rPr>
            </w:pPr>
            <w:r w:rsidRPr="00557F84">
              <w:rPr>
                <w:sz w:val="24"/>
                <w:szCs w:val="24"/>
                <w:lang w:val="uk-UA"/>
              </w:rPr>
              <w:t>Відстань між осями кронштейнів кріплення стойок мішеней мм</w:t>
            </w:r>
          </w:p>
        </w:tc>
      </w:tr>
      <w:tr w:rsidR="00B23F76" w:rsidRPr="00557F84" w:rsidTr="00B30002">
        <w:tc>
          <w:tcPr>
            <w:tcW w:w="1985" w:type="dxa"/>
          </w:tcPr>
          <w:p w:rsidR="00B23F76" w:rsidRPr="00557F84" w:rsidRDefault="00B23F76" w:rsidP="00120F3F">
            <w:pPr>
              <w:ind w:left="34"/>
              <w:jc w:val="center"/>
              <w:rPr>
                <w:sz w:val="24"/>
                <w:szCs w:val="24"/>
                <w:lang w:val="uk-UA"/>
              </w:rPr>
            </w:pPr>
            <w:r w:rsidRPr="00557F84">
              <w:rPr>
                <w:sz w:val="24"/>
                <w:szCs w:val="24"/>
                <w:lang w:val="uk-UA"/>
              </w:rPr>
              <w:t>Легкі  мішені</w:t>
            </w:r>
          </w:p>
        </w:tc>
        <w:tc>
          <w:tcPr>
            <w:tcW w:w="2268" w:type="dxa"/>
          </w:tcPr>
          <w:p w:rsidR="00B23F76" w:rsidRPr="00557F84" w:rsidRDefault="00B23F76" w:rsidP="00120F3F">
            <w:pPr>
              <w:ind w:left="-709" w:firstLine="284"/>
              <w:jc w:val="center"/>
              <w:rPr>
                <w:sz w:val="24"/>
                <w:szCs w:val="24"/>
                <w:lang w:val="uk-UA"/>
              </w:rPr>
            </w:pPr>
            <w:r w:rsidRPr="00557F84">
              <w:rPr>
                <w:sz w:val="24"/>
                <w:szCs w:val="24"/>
                <w:lang w:val="uk-UA"/>
              </w:rPr>
              <w:t>до 30</w:t>
            </w:r>
          </w:p>
        </w:tc>
        <w:tc>
          <w:tcPr>
            <w:tcW w:w="851" w:type="dxa"/>
          </w:tcPr>
          <w:p w:rsidR="00B23F76" w:rsidRPr="00557F84" w:rsidRDefault="00B23F76" w:rsidP="00120F3F">
            <w:pPr>
              <w:ind w:left="-709" w:firstLine="284"/>
              <w:jc w:val="center"/>
              <w:rPr>
                <w:sz w:val="24"/>
                <w:szCs w:val="24"/>
                <w:lang w:val="uk-UA"/>
              </w:rPr>
            </w:pPr>
            <w:r w:rsidRPr="00557F84">
              <w:rPr>
                <w:sz w:val="24"/>
                <w:szCs w:val="24"/>
                <w:lang w:val="uk-UA"/>
              </w:rPr>
              <w:t>3</w:t>
            </w:r>
          </w:p>
        </w:tc>
        <w:tc>
          <w:tcPr>
            <w:tcW w:w="1417" w:type="dxa"/>
          </w:tcPr>
          <w:p w:rsidR="00B23F76" w:rsidRPr="00557F84" w:rsidRDefault="00B23F76" w:rsidP="00120F3F">
            <w:pPr>
              <w:rPr>
                <w:sz w:val="24"/>
                <w:szCs w:val="24"/>
                <w:lang w:val="uk-UA"/>
              </w:rPr>
            </w:pPr>
            <w:r w:rsidRPr="00557F84">
              <w:rPr>
                <w:sz w:val="24"/>
                <w:szCs w:val="24"/>
                <w:lang w:val="uk-UA"/>
              </w:rPr>
              <w:t>3</w:t>
            </w:r>
          </w:p>
        </w:tc>
        <w:tc>
          <w:tcPr>
            <w:tcW w:w="1825" w:type="dxa"/>
          </w:tcPr>
          <w:p w:rsidR="00B23F76" w:rsidRPr="00557F84" w:rsidRDefault="00B23F76" w:rsidP="00120F3F">
            <w:pPr>
              <w:jc w:val="center"/>
              <w:rPr>
                <w:sz w:val="24"/>
                <w:szCs w:val="24"/>
                <w:lang w:val="uk-UA"/>
              </w:rPr>
            </w:pPr>
            <w:r w:rsidRPr="00557F84">
              <w:rPr>
                <w:sz w:val="24"/>
                <w:szCs w:val="24"/>
                <w:lang w:val="uk-UA"/>
              </w:rPr>
              <w:t>400-500</w:t>
            </w:r>
          </w:p>
        </w:tc>
        <w:tc>
          <w:tcPr>
            <w:tcW w:w="1826" w:type="dxa"/>
          </w:tcPr>
          <w:p w:rsidR="00B23F76" w:rsidRPr="00557F84" w:rsidRDefault="00B23F76" w:rsidP="00120F3F">
            <w:pPr>
              <w:ind w:left="21"/>
              <w:rPr>
                <w:sz w:val="24"/>
                <w:szCs w:val="24"/>
                <w:lang w:val="uk-UA"/>
              </w:rPr>
            </w:pPr>
            <w:r w:rsidRPr="00557F84">
              <w:rPr>
                <w:sz w:val="24"/>
                <w:szCs w:val="24"/>
                <w:lang w:val="uk-UA"/>
              </w:rPr>
              <w:t>200-300</w:t>
            </w:r>
          </w:p>
        </w:tc>
      </w:tr>
      <w:tr w:rsidR="00B23F76" w:rsidRPr="00557F84" w:rsidTr="00B30002">
        <w:tc>
          <w:tcPr>
            <w:tcW w:w="1985" w:type="dxa"/>
          </w:tcPr>
          <w:p w:rsidR="00B23F76" w:rsidRPr="00557F84" w:rsidRDefault="00B23F76" w:rsidP="00120F3F">
            <w:pPr>
              <w:ind w:left="34"/>
              <w:jc w:val="center"/>
              <w:rPr>
                <w:sz w:val="24"/>
                <w:szCs w:val="24"/>
                <w:lang w:val="uk-UA"/>
              </w:rPr>
            </w:pPr>
            <w:r w:rsidRPr="00557F84">
              <w:rPr>
                <w:sz w:val="24"/>
                <w:szCs w:val="24"/>
                <w:lang w:val="uk-UA"/>
              </w:rPr>
              <w:t>Середні  мішені</w:t>
            </w:r>
          </w:p>
        </w:tc>
        <w:tc>
          <w:tcPr>
            <w:tcW w:w="2268" w:type="dxa"/>
          </w:tcPr>
          <w:p w:rsidR="00B23F76" w:rsidRPr="00557F84" w:rsidRDefault="00B23F76" w:rsidP="00120F3F">
            <w:pPr>
              <w:ind w:left="-709" w:firstLine="284"/>
              <w:jc w:val="center"/>
              <w:rPr>
                <w:sz w:val="24"/>
                <w:szCs w:val="24"/>
                <w:lang w:val="uk-UA"/>
              </w:rPr>
            </w:pPr>
            <w:r w:rsidRPr="00557F84">
              <w:rPr>
                <w:sz w:val="24"/>
                <w:szCs w:val="24"/>
                <w:lang w:val="uk-UA"/>
              </w:rPr>
              <w:t>до 200</w:t>
            </w:r>
          </w:p>
        </w:tc>
        <w:tc>
          <w:tcPr>
            <w:tcW w:w="851" w:type="dxa"/>
          </w:tcPr>
          <w:p w:rsidR="00B23F76" w:rsidRPr="00557F84" w:rsidRDefault="00B23F76" w:rsidP="00120F3F">
            <w:pPr>
              <w:ind w:left="-709" w:firstLine="284"/>
              <w:jc w:val="center"/>
              <w:rPr>
                <w:sz w:val="24"/>
                <w:szCs w:val="24"/>
                <w:lang w:val="uk-UA"/>
              </w:rPr>
            </w:pPr>
            <w:r w:rsidRPr="00557F84">
              <w:rPr>
                <w:sz w:val="24"/>
                <w:szCs w:val="24"/>
                <w:lang w:val="uk-UA"/>
              </w:rPr>
              <w:t>5</w:t>
            </w:r>
          </w:p>
        </w:tc>
        <w:tc>
          <w:tcPr>
            <w:tcW w:w="1417" w:type="dxa"/>
          </w:tcPr>
          <w:p w:rsidR="00B23F76" w:rsidRPr="00557F84" w:rsidRDefault="00B23F76" w:rsidP="00120F3F">
            <w:pPr>
              <w:rPr>
                <w:sz w:val="24"/>
                <w:szCs w:val="24"/>
                <w:lang w:val="uk-UA"/>
              </w:rPr>
            </w:pPr>
            <w:r w:rsidRPr="00557F84">
              <w:rPr>
                <w:sz w:val="24"/>
                <w:szCs w:val="24"/>
                <w:lang w:val="uk-UA"/>
              </w:rPr>
              <w:t>5</w:t>
            </w:r>
          </w:p>
        </w:tc>
        <w:tc>
          <w:tcPr>
            <w:tcW w:w="1825" w:type="dxa"/>
          </w:tcPr>
          <w:p w:rsidR="00B23F76" w:rsidRPr="00557F84" w:rsidRDefault="00B23F76" w:rsidP="00120F3F">
            <w:pPr>
              <w:jc w:val="center"/>
              <w:rPr>
                <w:sz w:val="24"/>
                <w:szCs w:val="24"/>
                <w:lang w:val="uk-UA"/>
              </w:rPr>
            </w:pPr>
            <w:r w:rsidRPr="00557F84">
              <w:rPr>
                <w:sz w:val="24"/>
                <w:szCs w:val="24"/>
                <w:lang w:val="uk-UA"/>
              </w:rPr>
              <w:t>400-500</w:t>
            </w:r>
          </w:p>
        </w:tc>
        <w:tc>
          <w:tcPr>
            <w:tcW w:w="1826" w:type="dxa"/>
          </w:tcPr>
          <w:p w:rsidR="00B23F76" w:rsidRPr="00557F84" w:rsidRDefault="00B23F76" w:rsidP="00120F3F">
            <w:pPr>
              <w:ind w:left="21"/>
              <w:rPr>
                <w:sz w:val="24"/>
                <w:szCs w:val="24"/>
                <w:lang w:val="uk-UA"/>
              </w:rPr>
            </w:pPr>
            <w:r w:rsidRPr="00557F84">
              <w:rPr>
                <w:sz w:val="24"/>
                <w:szCs w:val="24"/>
                <w:lang w:val="uk-UA"/>
              </w:rPr>
              <w:t>300-400</w:t>
            </w:r>
          </w:p>
        </w:tc>
      </w:tr>
      <w:tr w:rsidR="00B23F76" w:rsidRPr="00557F84" w:rsidTr="00B30002">
        <w:tc>
          <w:tcPr>
            <w:tcW w:w="1985" w:type="dxa"/>
          </w:tcPr>
          <w:p w:rsidR="00B23F76" w:rsidRPr="00557F84" w:rsidRDefault="00B23F76" w:rsidP="00120F3F">
            <w:pPr>
              <w:ind w:left="34"/>
              <w:jc w:val="center"/>
              <w:rPr>
                <w:sz w:val="24"/>
                <w:szCs w:val="24"/>
                <w:lang w:val="uk-UA"/>
              </w:rPr>
            </w:pPr>
            <w:r w:rsidRPr="00557F84">
              <w:rPr>
                <w:sz w:val="24"/>
                <w:szCs w:val="24"/>
                <w:lang w:val="uk-UA"/>
              </w:rPr>
              <w:t>Тяжкі мішені</w:t>
            </w:r>
          </w:p>
        </w:tc>
        <w:tc>
          <w:tcPr>
            <w:tcW w:w="2268" w:type="dxa"/>
          </w:tcPr>
          <w:p w:rsidR="00B23F76" w:rsidRPr="00557F84" w:rsidRDefault="00B23F76" w:rsidP="00120F3F">
            <w:pPr>
              <w:ind w:left="-709" w:firstLine="284"/>
              <w:jc w:val="center"/>
              <w:rPr>
                <w:sz w:val="24"/>
                <w:szCs w:val="24"/>
                <w:lang w:val="uk-UA"/>
              </w:rPr>
            </w:pPr>
            <w:r w:rsidRPr="00557F84">
              <w:rPr>
                <w:sz w:val="24"/>
                <w:szCs w:val="24"/>
                <w:lang w:val="uk-UA"/>
              </w:rPr>
              <w:t>до 1800</w:t>
            </w:r>
          </w:p>
        </w:tc>
        <w:tc>
          <w:tcPr>
            <w:tcW w:w="851" w:type="dxa"/>
          </w:tcPr>
          <w:p w:rsidR="00B23F76" w:rsidRPr="00557F84" w:rsidRDefault="00B23F76" w:rsidP="00120F3F">
            <w:pPr>
              <w:ind w:left="-709" w:firstLine="284"/>
              <w:jc w:val="center"/>
              <w:rPr>
                <w:sz w:val="24"/>
                <w:szCs w:val="24"/>
                <w:lang w:val="uk-UA"/>
              </w:rPr>
            </w:pPr>
            <w:r w:rsidRPr="00557F84">
              <w:rPr>
                <w:sz w:val="24"/>
                <w:szCs w:val="24"/>
                <w:lang w:val="uk-UA"/>
              </w:rPr>
              <w:t>14-15</w:t>
            </w:r>
          </w:p>
        </w:tc>
        <w:tc>
          <w:tcPr>
            <w:tcW w:w="1417" w:type="dxa"/>
          </w:tcPr>
          <w:p w:rsidR="00B23F76" w:rsidRPr="00557F84" w:rsidRDefault="00B23F76" w:rsidP="00120F3F">
            <w:pPr>
              <w:rPr>
                <w:sz w:val="24"/>
                <w:szCs w:val="24"/>
                <w:lang w:val="uk-UA"/>
              </w:rPr>
            </w:pPr>
            <w:r w:rsidRPr="00557F84">
              <w:rPr>
                <w:sz w:val="24"/>
                <w:szCs w:val="24"/>
                <w:lang w:val="uk-UA"/>
              </w:rPr>
              <w:t>12-14</w:t>
            </w:r>
          </w:p>
        </w:tc>
        <w:tc>
          <w:tcPr>
            <w:tcW w:w="1825" w:type="dxa"/>
          </w:tcPr>
          <w:p w:rsidR="00B23F76" w:rsidRPr="00557F84" w:rsidRDefault="00B23F76" w:rsidP="00120F3F">
            <w:pPr>
              <w:jc w:val="center"/>
              <w:rPr>
                <w:sz w:val="24"/>
                <w:szCs w:val="24"/>
                <w:lang w:val="uk-UA"/>
              </w:rPr>
            </w:pPr>
            <w:r w:rsidRPr="00557F84">
              <w:rPr>
                <w:sz w:val="24"/>
                <w:szCs w:val="24"/>
                <w:lang w:val="uk-UA"/>
              </w:rPr>
              <w:t>100-150</w:t>
            </w:r>
          </w:p>
        </w:tc>
        <w:tc>
          <w:tcPr>
            <w:tcW w:w="1826" w:type="dxa"/>
          </w:tcPr>
          <w:p w:rsidR="00B23F76" w:rsidRPr="00557F84" w:rsidRDefault="00B23F76" w:rsidP="00120F3F">
            <w:pPr>
              <w:ind w:left="21"/>
              <w:rPr>
                <w:sz w:val="24"/>
                <w:szCs w:val="24"/>
                <w:lang w:val="uk-UA"/>
              </w:rPr>
            </w:pPr>
            <w:r w:rsidRPr="00557F84">
              <w:rPr>
                <w:sz w:val="24"/>
                <w:szCs w:val="24"/>
                <w:lang w:val="uk-UA"/>
              </w:rPr>
              <w:t>800-1000</w:t>
            </w:r>
          </w:p>
        </w:tc>
      </w:tr>
    </w:tbl>
    <w:p w:rsidR="00F67CE2" w:rsidRDefault="00B23F76" w:rsidP="00F67CE2">
      <w:pPr>
        <w:ind w:left="-284" w:firstLine="284"/>
        <w:rPr>
          <w:lang w:val="uk-UA"/>
        </w:rPr>
      </w:pPr>
      <w:r w:rsidRPr="00557F84">
        <w:rPr>
          <w:lang w:val="uk-UA"/>
        </w:rPr>
        <w:t xml:space="preserve">Виконавчі пристрої повинні обладнуватися розвантажувально-врівноважуючими пружинами з </w:t>
      </w:r>
    </w:p>
    <w:p w:rsidR="00B23F76" w:rsidRPr="00557F84" w:rsidRDefault="00B23F76" w:rsidP="00F67CE2">
      <w:pPr>
        <w:ind w:left="-284" w:firstLine="284"/>
        <w:rPr>
          <w:lang w:val="uk-UA"/>
        </w:rPr>
      </w:pPr>
      <w:r w:rsidRPr="00557F84">
        <w:rPr>
          <w:lang w:val="uk-UA"/>
        </w:rPr>
        <w:t>можливістю плавного регулювання врівноважуючого моменту.</w:t>
      </w:r>
    </w:p>
    <w:p w:rsidR="00B23F76" w:rsidRPr="00557F84" w:rsidRDefault="00B23F76" w:rsidP="00F67CE2">
      <w:pPr>
        <w:rPr>
          <w:lang w:val="uk-UA"/>
        </w:rPr>
      </w:pPr>
      <w:r w:rsidRPr="00557F84">
        <w:rPr>
          <w:lang w:val="uk-UA"/>
        </w:rPr>
        <w:t>Повинна бути передбачена можливість їх самотестування та можливість під’єднання зовнішнього джерела живлення у випадку розряджання основного АКБ.</w:t>
      </w:r>
    </w:p>
    <w:p w:rsidR="00B23F76" w:rsidRPr="00557F84" w:rsidRDefault="00B23F76" w:rsidP="00F67CE2">
      <w:pPr>
        <w:autoSpaceDE w:val="0"/>
        <w:autoSpaceDN w:val="0"/>
        <w:adjustRightInd w:val="0"/>
        <w:rPr>
          <w:lang w:val="uk-UA"/>
        </w:rPr>
      </w:pPr>
      <w:r w:rsidRPr="00557F84">
        <w:rPr>
          <w:rFonts w:eastAsiaTheme="minorHAnsi"/>
          <w:lang w:val="uk-UA"/>
        </w:rPr>
        <w:t xml:space="preserve">Конструктивно </w:t>
      </w:r>
      <w:r w:rsidRPr="00557F84">
        <w:rPr>
          <w:lang w:val="uk-UA"/>
        </w:rPr>
        <w:t xml:space="preserve">виконавчий пристрой має бути виконаний як </w:t>
      </w:r>
      <w:r w:rsidRPr="00557F84">
        <w:rPr>
          <w:rFonts w:eastAsiaTheme="minorHAnsi"/>
          <w:lang w:val="uk-UA"/>
        </w:rPr>
        <w:t>герметична конструкція класу не нижче IP53, що виключає потрапляння всередину пилу та атмосферних опадів.</w:t>
      </w:r>
    </w:p>
    <w:p w:rsidR="00B23F76" w:rsidRPr="00557F84" w:rsidRDefault="00B23F76" w:rsidP="00B23F76">
      <w:pPr>
        <w:ind w:left="-709" w:firstLine="284"/>
        <w:rPr>
          <w:lang w:val="uk-UA"/>
        </w:rPr>
      </w:pPr>
    </w:p>
    <w:p w:rsidR="00F67CE2" w:rsidRDefault="00B23F76" w:rsidP="00F67CE2">
      <w:pPr>
        <w:ind w:left="-284" w:firstLine="284"/>
        <w:rPr>
          <w:lang w:val="uk-UA"/>
        </w:rPr>
      </w:pPr>
      <w:r w:rsidRPr="00557F84">
        <w:rPr>
          <w:lang w:val="uk-UA"/>
        </w:rPr>
        <w:t xml:space="preserve">Складові частини мішеневого обладнання(за винятком виконавчих механізмів) повинні </w:t>
      </w:r>
    </w:p>
    <w:p w:rsidR="00B23F76" w:rsidRPr="00557F84" w:rsidRDefault="00B23F76" w:rsidP="00F67CE2">
      <w:pPr>
        <w:ind w:left="-284" w:firstLine="284"/>
        <w:rPr>
          <w:lang w:val="uk-UA"/>
        </w:rPr>
      </w:pPr>
      <w:r w:rsidRPr="00557F84">
        <w:rPr>
          <w:lang w:val="uk-UA"/>
        </w:rPr>
        <w:t>забезпечувати виконання таких ергономічних вимог:</w:t>
      </w:r>
    </w:p>
    <w:p w:rsidR="00F67CE2" w:rsidRDefault="00B23F76" w:rsidP="00F67CE2">
      <w:pPr>
        <w:ind w:left="-284" w:firstLine="284"/>
        <w:rPr>
          <w:lang w:val="uk-UA"/>
        </w:rPr>
      </w:pPr>
      <w:r w:rsidRPr="00557F84">
        <w:rPr>
          <w:lang w:val="uk-UA"/>
        </w:rPr>
        <w:t>- засоби відображення інформації та органи керування повинні розміщуватися в зоні</w:t>
      </w:r>
    </w:p>
    <w:p w:rsidR="00B23F76" w:rsidRPr="00557F84" w:rsidRDefault="00B23F76" w:rsidP="00F67CE2">
      <w:pPr>
        <w:ind w:left="-284" w:firstLine="284"/>
        <w:rPr>
          <w:lang w:val="uk-UA"/>
        </w:rPr>
      </w:pPr>
      <w:r w:rsidRPr="00557F84">
        <w:rPr>
          <w:lang w:val="uk-UA"/>
        </w:rPr>
        <w:t xml:space="preserve"> найкращого сприйняття відповідно до ГОСТ В 29.04.002-84;</w:t>
      </w:r>
    </w:p>
    <w:p w:rsidR="00F67CE2" w:rsidRDefault="00B23F76" w:rsidP="00F67CE2">
      <w:pPr>
        <w:ind w:left="-284" w:firstLine="284"/>
        <w:rPr>
          <w:lang w:val="uk-UA"/>
        </w:rPr>
      </w:pPr>
      <w:r w:rsidRPr="00557F84">
        <w:rPr>
          <w:lang w:val="uk-UA"/>
        </w:rPr>
        <w:t xml:space="preserve">- групування засобів відображення інформації і функціонально зв'язаних з ними органів </w:t>
      </w:r>
    </w:p>
    <w:p w:rsidR="00F67CE2" w:rsidRDefault="00B23F76" w:rsidP="00F67CE2">
      <w:pPr>
        <w:ind w:left="-284" w:firstLine="284"/>
        <w:rPr>
          <w:lang w:val="uk-UA"/>
        </w:rPr>
      </w:pPr>
      <w:r w:rsidRPr="00557F84">
        <w:rPr>
          <w:lang w:val="uk-UA"/>
        </w:rPr>
        <w:t xml:space="preserve">керування повинно бути таким, щоб орган керування або рука оператора під час маніпуляцій </w:t>
      </w:r>
    </w:p>
    <w:p w:rsidR="00B23F76" w:rsidRPr="00557F84" w:rsidRDefault="00B23F76" w:rsidP="00F67CE2">
      <w:pPr>
        <w:ind w:left="-284" w:firstLine="284"/>
        <w:rPr>
          <w:lang w:val="uk-UA"/>
        </w:rPr>
      </w:pPr>
      <w:r w:rsidRPr="00557F84">
        <w:rPr>
          <w:lang w:val="uk-UA"/>
        </w:rPr>
        <w:t>не закривала засоби відображення інформації;</w:t>
      </w:r>
    </w:p>
    <w:p w:rsidR="00F67CE2" w:rsidRDefault="00B23F76" w:rsidP="00F67CE2">
      <w:pPr>
        <w:ind w:left="-284" w:firstLine="284"/>
        <w:rPr>
          <w:lang w:val="uk-UA"/>
        </w:rPr>
      </w:pPr>
      <w:r w:rsidRPr="00557F84">
        <w:rPr>
          <w:lang w:val="uk-UA"/>
        </w:rPr>
        <w:t xml:space="preserve">- висота розміщення органів оперативного керування і засобів відображення інформації </w:t>
      </w:r>
    </w:p>
    <w:p w:rsidR="00B23F76" w:rsidRPr="00557F84" w:rsidRDefault="00B23F76" w:rsidP="00F67CE2">
      <w:pPr>
        <w:ind w:left="-284" w:firstLine="284"/>
        <w:rPr>
          <w:lang w:val="uk-UA"/>
        </w:rPr>
      </w:pPr>
      <w:r w:rsidRPr="00557F84">
        <w:rPr>
          <w:lang w:val="uk-UA"/>
        </w:rPr>
        <w:t>повинна бути в межах від 700 до 1150 мм;</w:t>
      </w:r>
    </w:p>
    <w:p w:rsidR="00B23F76" w:rsidRPr="00557F84" w:rsidRDefault="00B23F76" w:rsidP="00F67CE2">
      <w:pPr>
        <w:ind w:left="-284" w:firstLine="284"/>
        <w:rPr>
          <w:lang w:val="uk-UA"/>
        </w:rPr>
      </w:pPr>
      <w:r w:rsidRPr="00557F84">
        <w:rPr>
          <w:lang w:val="uk-UA"/>
        </w:rPr>
        <w:t>- застережні написи повинні бути виконані червоним кольором.</w:t>
      </w:r>
    </w:p>
    <w:p w:rsidR="00F67CE2" w:rsidRDefault="00B23F76" w:rsidP="00F67CE2">
      <w:pPr>
        <w:ind w:left="-284" w:firstLine="284"/>
        <w:rPr>
          <w:lang w:val="uk-UA"/>
        </w:rPr>
      </w:pPr>
      <w:r w:rsidRPr="00557F84">
        <w:rPr>
          <w:lang w:val="uk-UA"/>
        </w:rPr>
        <w:t xml:space="preserve">Функціональні написи на панелях, клавішах і кнопках повинні бути чіткими, добре </w:t>
      </w:r>
    </w:p>
    <w:p w:rsidR="00B23F76" w:rsidRPr="00557F84" w:rsidRDefault="00B23F76" w:rsidP="00F67CE2">
      <w:pPr>
        <w:ind w:left="-284" w:firstLine="284"/>
        <w:rPr>
          <w:lang w:val="uk-UA"/>
        </w:rPr>
      </w:pPr>
      <w:r w:rsidRPr="00557F84">
        <w:rPr>
          <w:lang w:val="uk-UA"/>
        </w:rPr>
        <w:t>зрозумілими і не вимагати додаткових пояснень.</w:t>
      </w:r>
    </w:p>
    <w:p w:rsidR="00F67CE2" w:rsidRDefault="00B23F76" w:rsidP="00F67CE2">
      <w:pPr>
        <w:ind w:left="-284" w:firstLine="284"/>
        <w:rPr>
          <w:lang w:val="uk-UA"/>
        </w:rPr>
      </w:pPr>
      <w:r w:rsidRPr="00557F84">
        <w:rPr>
          <w:lang w:val="uk-UA"/>
        </w:rPr>
        <w:t xml:space="preserve">Мішеневе обладнання повинно забезпечувати можливість безперервної роботи протягом </w:t>
      </w:r>
    </w:p>
    <w:p w:rsidR="00B23F76" w:rsidRPr="00557F84" w:rsidRDefault="00B23F76" w:rsidP="00F67CE2">
      <w:pPr>
        <w:ind w:left="-284" w:firstLine="284"/>
        <w:rPr>
          <w:lang w:val="uk-UA"/>
        </w:rPr>
      </w:pPr>
      <w:r w:rsidRPr="00557F84">
        <w:rPr>
          <w:lang w:val="uk-UA"/>
        </w:rPr>
        <w:t>10 год.</w:t>
      </w:r>
    </w:p>
    <w:p w:rsidR="00B23F76" w:rsidRPr="00557F84" w:rsidRDefault="00B23F76" w:rsidP="001A17A0">
      <w:pPr>
        <w:ind w:left="-284" w:firstLine="284"/>
        <w:rPr>
          <w:lang w:val="uk-UA"/>
        </w:rPr>
      </w:pPr>
      <w:r w:rsidRPr="00557F84">
        <w:rPr>
          <w:lang w:val="uk-UA"/>
        </w:rPr>
        <w:t xml:space="preserve"> В комплекті мішеневого обладнання має бути передбачений зарядний пристрій.</w:t>
      </w:r>
    </w:p>
    <w:p w:rsidR="001A17A0" w:rsidRDefault="00B23F76" w:rsidP="001A17A0">
      <w:pPr>
        <w:autoSpaceDE w:val="0"/>
        <w:autoSpaceDN w:val="0"/>
        <w:adjustRightInd w:val="0"/>
        <w:ind w:left="-284" w:firstLine="284"/>
        <w:rPr>
          <w:rFonts w:eastAsiaTheme="minorHAnsi"/>
          <w:bCs/>
          <w:lang w:val="uk-UA"/>
        </w:rPr>
      </w:pPr>
      <w:r w:rsidRPr="00557F84">
        <w:rPr>
          <w:rFonts w:eastAsiaTheme="minorHAnsi"/>
          <w:bCs/>
          <w:lang w:val="uk-UA"/>
        </w:rPr>
        <w:t xml:space="preserve">Зарядний пристрій повинен забезпечувати зарядку не менш як 10 акумуляторів чи виконавчих </w:t>
      </w:r>
    </w:p>
    <w:p w:rsidR="00B23F76" w:rsidRPr="00557F84" w:rsidRDefault="00B23F76" w:rsidP="001A17A0">
      <w:pPr>
        <w:autoSpaceDE w:val="0"/>
        <w:autoSpaceDN w:val="0"/>
        <w:adjustRightInd w:val="0"/>
        <w:ind w:left="-284" w:firstLine="284"/>
        <w:rPr>
          <w:rFonts w:eastAsiaTheme="minorHAnsi"/>
          <w:bCs/>
          <w:lang w:val="uk-UA"/>
        </w:rPr>
      </w:pPr>
      <w:r w:rsidRPr="00557F84">
        <w:rPr>
          <w:rFonts w:eastAsiaTheme="minorHAnsi"/>
          <w:bCs/>
          <w:lang w:val="uk-UA"/>
        </w:rPr>
        <w:t>пристроїв та мати індикацію рівня заряду кожної підключеної точки.</w:t>
      </w:r>
    </w:p>
    <w:p w:rsidR="00B23F76" w:rsidRPr="00557F84" w:rsidRDefault="00B23F76" w:rsidP="001A17A0">
      <w:pPr>
        <w:autoSpaceDE w:val="0"/>
        <w:autoSpaceDN w:val="0"/>
        <w:adjustRightInd w:val="0"/>
        <w:ind w:left="-284" w:firstLine="284"/>
        <w:rPr>
          <w:rFonts w:eastAsiaTheme="minorHAnsi"/>
          <w:lang w:val="uk-UA"/>
        </w:rPr>
      </w:pPr>
      <w:r w:rsidRPr="00557F84">
        <w:rPr>
          <w:rFonts w:eastAsiaTheme="minorHAnsi"/>
          <w:lang w:val="uk-UA"/>
        </w:rPr>
        <w:t xml:space="preserve">Живлення від мережі змінного струму 150-240 В. </w:t>
      </w:r>
    </w:p>
    <w:p w:rsidR="00B23F76" w:rsidRPr="00557F84" w:rsidRDefault="00B23F76" w:rsidP="001A17A0">
      <w:pPr>
        <w:ind w:left="-284" w:firstLine="284"/>
        <w:rPr>
          <w:rFonts w:eastAsiaTheme="minorHAnsi"/>
          <w:lang w:val="uk-UA"/>
        </w:rPr>
      </w:pPr>
      <w:r w:rsidRPr="00557F84">
        <w:rPr>
          <w:rFonts w:eastAsiaTheme="minorHAnsi"/>
          <w:lang w:val="uk-UA"/>
        </w:rPr>
        <w:t>Ступінь захисту- IP44.</w:t>
      </w:r>
    </w:p>
    <w:p w:rsidR="00B23F76" w:rsidRPr="00557F84" w:rsidRDefault="00B23F76" w:rsidP="00B23F76">
      <w:pPr>
        <w:ind w:left="-709" w:firstLine="284"/>
        <w:rPr>
          <w:rFonts w:eastAsiaTheme="minorHAnsi"/>
          <w:lang w:val="uk-UA"/>
        </w:rPr>
      </w:pPr>
    </w:p>
    <w:p w:rsidR="00D45A1C" w:rsidRDefault="00B23F76" w:rsidP="00D45A1C">
      <w:pPr>
        <w:ind w:left="-284" w:firstLine="284"/>
        <w:rPr>
          <w:lang w:val="uk-UA"/>
        </w:rPr>
      </w:pPr>
      <w:r w:rsidRPr="00557F84">
        <w:rPr>
          <w:lang w:val="uk-UA"/>
        </w:rPr>
        <w:t xml:space="preserve">Датчики влучань повинні надавати інформацію тільки при влучанні в мішень, при цьому не </w:t>
      </w:r>
    </w:p>
    <w:p w:rsidR="00D45A1C" w:rsidRDefault="00B23F76" w:rsidP="00D45A1C">
      <w:pPr>
        <w:ind w:left="-284" w:firstLine="284"/>
        <w:rPr>
          <w:lang w:val="uk-UA"/>
        </w:rPr>
      </w:pPr>
      <w:r w:rsidRPr="00557F84">
        <w:rPr>
          <w:lang w:val="uk-UA"/>
        </w:rPr>
        <w:t xml:space="preserve">допускається їх спрацювання від прискорень та шумів, що виникають від поривів вітру та при </w:t>
      </w:r>
    </w:p>
    <w:p w:rsidR="00D45A1C" w:rsidRDefault="00B23F76" w:rsidP="00D45A1C">
      <w:pPr>
        <w:ind w:left="-284" w:firstLine="284"/>
        <w:rPr>
          <w:lang w:val="uk-UA"/>
        </w:rPr>
      </w:pPr>
      <w:r w:rsidRPr="00557F84">
        <w:rPr>
          <w:lang w:val="uk-UA"/>
        </w:rPr>
        <w:t xml:space="preserve">русі виконавчого пристрою в складі рухомої установки по колії. Ступінь захищеності не </w:t>
      </w:r>
    </w:p>
    <w:p w:rsidR="00B23F76" w:rsidRPr="00557F84" w:rsidRDefault="00B23F76" w:rsidP="00D45A1C">
      <w:pPr>
        <w:ind w:left="-284" w:firstLine="284"/>
        <w:rPr>
          <w:lang w:val="uk-UA"/>
        </w:rPr>
      </w:pPr>
      <w:r w:rsidRPr="00557F84">
        <w:rPr>
          <w:lang w:val="uk-UA"/>
        </w:rPr>
        <w:t>нижче IP67.</w:t>
      </w:r>
    </w:p>
    <w:p w:rsidR="00B23F76" w:rsidRPr="00557F84" w:rsidRDefault="00B23F76" w:rsidP="00D45A1C">
      <w:pPr>
        <w:ind w:left="-284" w:firstLine="284"/>
        <w:rPr>
          <w:lang w:val="uk-UA"/>
        </w:rPr>
      </w:pPr>
      <w:r w:rsidRPr="00557F84">
        <w:rPr>
          <w:lang w:val="uk-UA"/>
        </w:rPr>
        <w:t xml:space="preserve">Експлуатаційна документація мішеневого обладнання повинна відповідати вимогам ГОСТ </w:t>
      </w:r>
    </w:p>
    <w:p w:rsidR="00B23F76" w:rsidRPr="00557F84" w:rsidRDefault="00B23F76" w:rsidP="00D45A1C">
      <w:pPr>
        <w:ind w:left="-284" w:firstLine="284"/>
        <w:rPr>
          <w:lang w:val="uk-UA"/>
        </w:rPr>
      </w:pPr>
      <w:r w:rsidRPr="00557F84">
        <w:rPr>
          <w:lang w:val="uk-UA"/>
        </w:rPr>
        <w:t>В 15.501-90, ГОСТ 19.101-77, ГОСТ 19.501-78, ГОСТ 19.503-79, ГОСТ 19.507-79.</w:t>
      </w:r>
    </w:p>
    <w:p w:rsidR="00D45A1C" w:rsidRDefault="00B23F76" w:rsidP="00D45A1C">
      <w:pPr>
        <w:ind w:left="-284" w:firstLine="284"/>
        <w:rPr>
          <w:lang w:val="uk-UA"/>
        </w:rPr>
      </w:pPr>
      <w:r w:rsidRPr="00557F84">
        <w:rPr>
          <w:lang w:val="uk-UA"/>
        </w:rPr>
        <w:t xml:space="preserve">Мішеневе обладнання не повинне виходити з ладу при неправильних діях обслуговуючого </w:t>
      </w:r>
    </w:p>
    <w:p w:rsidR="00D45A1C" w:rsidRDefault="00B23F76" w:rsidP="00D45A1C">
      <w:pPr>
        <w:ind w:left="-284" w:firstLine="284"/>
        <w:rPr>
          <w:lang w:val="uk-UA"/>
        </w:rPr>
      </w:pPr>
      <w:r w:rsidRPr="00557F84">
        <w:rPr>
          <w:lang w:val="uk-UA"/>
        </w:rPr>
        <w:t xml:space="preserve">персоналу та тих, хто навчається(якщо вони не нанесли механічні пошкодження, не розбирали </w:t>
      </w:r>
    </w:p>
    <w:p w:rsidR="00B23F76" w:rsidRPr="00557F84" w:rsidRDefault="00B23F76" w:rsidP="00D45A1C">
      <w:pPr>
        <w:ind w:left="-284" w:firstLine="284"/>
        <w:rPr>
          <w:lang w:val="uk-UA"/>
        </w:rPr>
      </w:pPr>
      <w:r w:rsidRPr="00557F84">
        <w:rPr>
          <w:lang w:val="uk-UA"/>
        </w:rPr>
        <w:t>вузли та блоки ).</w:t>
      </w:r>
    </w:p>
    <w:p w:rsidR="00B23F76" w:rsidRPr="00557F84" w:rsidRDefault="00B23F76" w:rsidP="00D45A1C">
      <w:pPr>
        <w:ind w:left="-284" w:firstLine="284"/>
        <w:rPr>
          <w:lang w:val="uk-UA"/>
        </w:rPr>
      </w:pPr>
      <w:r w:rsidRPr="00557F84">
        <w:rPr>
          <w:lang w:val="uk-UA"/>
        </w:rPr>
        <w:t xml:space="preserve">Мішеневе обладнання повинно зберігати працездатність після транспортування в упаковці </w:t>
      </w:r>
    </w:p>
    <w:p w:rsidR="00B23F76" w:rsidRPr="00557F84" w:rsidRDefault="00B23F76" w:rsidP="00D45A1C">
      <w:pPr>
        <w:rPr>
          <w:lang w:val="uk-UA"/>
        </w:rPr>
      </w:pPr>
      <w:r w:rsidRPr="00557F84">
        <w:rPr>
          <w:lang w:val="uk-UA"/>
        </w:rPr>
        <w:t>заводу-виробника авіаційним, водним або залізничним транспортом на довільну відстань, відповідно з правилами перевезення, діючими на цих видах транспорту, а також автомобільним транспортом на віддаль до 1000 км по шосе із швидкістю до 60 км/год. і до 250 км по ґрунтовій дорозі із швидкістю до 40 км/год.</w:t>
      </w:r>
    </w:p>
    <w:p w:rsidR="00B23F76" w:rsidRPr="00557F84" w:rsidRDefault="00B23F76" w:rsidP="00D45A1C">
      <w:pPr>
        <w:ind w:left="-284" w:firstLine="284"/>
        <w:rPr>
          <w:lang w:val="uk-UA"/>
        </w:rPr>
      </w:pPr>
      <w:r w:rsidRPr="00557F84">
        <w:rPr>
          <w:lang w:val="uk-UA"/>
        </w:rPr>
        <w:t>Вимоги по безпеці.</w:t>
      </w:r>
    </w:p>
    <w:p w:rsidR="00B23F76" w:rsidRPr="00557F84" w:rsidRDefault="00B23F76" w:rsidP="00D45A1C">
      <w:pPr>
        <w:ind w:left="-284" w:firstLine="284"/>
        <w:rPr>
          <w:lang w:val="uk-UA"/>
        </w:rPr>
      </w:pPr>
      <w:r w:rsidRPr="00557F84">
        <w:rPr>
          <w:lang w:val="uk-UA"/>
        </w:rPr>
        <w:t xml:space="preserve">Конструкція мішеневого обладнання повинна забезпечувати під час експлуатації безпеку </w:t>
      </w:r>
    </w:p>
    <w:p w:rsidR="00B23F76" w:rsidRPr="00557F84" w:rsidRDefault="00B23F76" w:rsidP="00D45A1C">
      <w:pPr>
        <w:rPr>
          <w:lang w:val="uk-UA"/>
        </w:rPr>
      </w:pPr>
      <w:r w:rsidRPr="00557F84">
        <w:rPr>
          <w:lang w:val="uk-UA"/>
        </w:rPr>
        <w:lastRenderedPageBreak/>
        <w:t>осіб, що навчаються та обслуговуючого персоналу від впливу шкідливих випромінювань, електричної напруги й частин, що рухаються відповідно до вимог ГОСТ В 20.39.308-76, ГОСТ 12.1.019-79, ГОСТ 12.1.030-81, ГОСТ 12.1.038-82, ГОСТ 12.2.007,0-75.</w:t>
      </w:r>
    </w:p>
    <w:p w:rsidR="00B23F76" w:rsidRPr="00557F84" w:rsidRDefault="00B23F76" w:rsidP="00D45A1C">
      <w:pPr>
        <w:ind w:left="-284" w:firstLine="284"/>
        <w:rPr>
          <w:lang w:val="uk-UA"/>
        </w:rPr>
      </w:pPr>
      <w:r w:rsidRPr="00557F84">
        <w:rPr>
          <w:lang w:val="uk-UA"/>
        </w:rPr>
        <w:t xml:space="preserve">Матеріали, які використовуються в конструкції мішеневого обладнання, повинні бути </w:t>
      </w:r>
    </w:p>
    <w:p w:rsidR="00B23F76" w:rsidRPr="00557F84" w:rsidRDefault="00B23F76" w:rsidP="00D45A1C">
      <w:pPr>
        <w:rPr>
          <w:lang w:val="uk-UA"/>
        </w:rPr>
      </w:pPr>
      <w:r w:rsidRPr="00557F84">
        <w:rPr>
          <w:lang w:val="uk-UA"/>
        </w:rPr>
        <w:t xml:space="preserve">нетоксичними і пожежобезпечними в зазначених умовах експлуатації. </w:t>
      </w:r>
    </w:p>
    <w:p w:rsidR="00D45A1C" w:rsidRDefault="00B23F76" w:rsidP="00D45A1C">
      <w:pPr>
        <w:ind w:left="-284" w:firstLine="284"/>
        <w:rPr>
          <w:lang w:val="uk-UA"/>
        </w:rPr>
      </w:pPr>
      <w:r w:rsidRPr="00557F84">
        <w:rPr>
          <w:lang w:val="uk-UA"/>
        </w:rPr>
        <w:t xml:space="preserve">Матеріали і речовини, що використовуються під час експлуатації та технічного </w:t>
      </w:r>
    </w:p>
    <w:p w:rsidR="00D45A1C" w:rsidRDefault="00B23F76" w:rsidP="00D45A1C">
      <w:pPr>
        <w:ind w:left="-284" w:firstLine="284"/>
        <w:rPr>
          <w:lang w:val="uk-UA"/>
        </w:rPr>
      </w:pPr>
      <w:r w:rsidRPr="00557F84">
        <w:rPr>
          <w:lang w:val="uk-UA"/>
        </w:rPr>
        <w:t xml:space="preserve">обслуговування обладнання повинні бути екологічно чистими та не містити речовин </w:t>
      </w:r>
    </w:p>
    <w:p w:rsidR="00B23F76" w:rsidRPr="00557F84" w:rsidRDefault="00B23F76" w:rsidP="00D45A1C">
      <w:pPr>
        <w:ind w:left="-284" w:firstLine="284"/>
        <w:rPr>
          <w:lang w:val="uk-UA"/>
        </w:rPr>
      </w:pPr>
      <w:r w:rsidRPr="00557F84">
        <w:rPr>
          <w:lang w:val="uk-UA"/>
        </w:rPr>
        <w:t>шкідливих для здоров'я людини та забруднюючих довкілля.</w:t>
      </w:r>
    </w:p>
    <w:p w:rsidR="00B2483F" w:rsidRPr="00557F84" w:rsidRDefault="00B2483F" w:rsidP="0006263B">
      <w:pPr>
        <w:pStyle w:val="a3"/>
        <w:jc w:val="both"/>
        <w:rPr>
          <w:lang w:val="uk-UA"/>
        </w:rPr>
      </w:pPr>
    </w:p>
    <w:p w:rsidR="0006263B" w:rsidRPr="00557F84" w:rsidRDefault="0006263B" w:rsidP="0006263B">
      <w:pPr>
        <w:pStyle w:val="a3"/>
        <w:jc w:val="both"/>
        <w:rPr>
          <w:lang w:val="uk-UA"/>
        </w:rPr>
      </w:pPr>
      <w:r w:rsidRPr="00557F84">
        <w:rPr>
          <w:lang w:val="uk-UA"/>
        </w:rPr>
        <w:t>Товар повинен бути новим та таким що не перебував у використанні.</w:t>
      </w:r>
    </w:p>
    <w:p w:rsidR="00D45A1C" w:rsidRDefault="00D45A1C" w:rsidP="00557F84">
      <w:pPr>
        <w:jc w:val="both"/>
        <w:rPr>
          <w:rStyle w:val="ListParagraphChar"/>
          <w:b/>
          <w:bCs/>
          <w:highlight w:val="yellow"/>
        </w:rPr>
      </w:pPr>
    </w:p>
    <w:p w:rsidR="00557F84" w:rsidRPr="00557F84" w:rsidRDefault="00557F84" w:rsidP="00557F84">
      <w:pPr>
        <w:jc w:val="both"/>
        <w:rPr>
          <w:rStyle w:val="ListParagraphChar"/>
          <w:b/>
          <w:bCs/>
        </w:rPr>
      </w:pPr>
      <w:r w:rsidRPr="00557F84">
        <w:rPr>
          <w:rStyle w:val="ListParagraphChar"/>
          <w:b/>
          <w:bCs/>
          <w:highlight w:val="yellow"/>
        </w:rPr>
        <w:t>Постачальник має право запропонувати аналог товару, який по своїм технічним характеристикам буде не гіршим від того, який описаний в оголошенні.</w:t>
      </w:r>
      <w:r w:rsidRPr="00557F84">
        <w:rPr>
          <w:rStyle w:val="ListParagraphChar"/>
          <w:b/>
          <w:bCs/>
        </w:rPr>
        <w:t xml:space="preserve"> </w:t>
      </w:r>
    </w:p>
    <w:p w:rsidR="0006263B" w:rsidRPr="00557F84" w:rsidRDefault="0006263B" w:rsidP="0006263B">
      <w:pPr>
        <w:pStyle w:val="a3"/>
        <w:jc w:val="both"/>
        <w:rPr>
          <w:lang w:val="uk-UA"/>
        </w:rPr>
      </w:pPr>
    </w:p>
    <w:p w:rsidR="0006263B" w:rsidRPr="00557F84" w:rsidRDefault="0006263B" w:rsidP="0006263B">
      <w:pPr>
        <w:pStyle w:val="a4"/>
        <w:ind w:left="-284"/>
        <w:jc w:val="both"/>
        <w:rPr>
          <w:u w:val="single"/>
          <w:lang w:val="uk-UA"/>
        </w:rPr>
      </w:pPr>
      <w:r w:rsidRPr="00557F84">
        <w:rPr>
          <w:lang w:val="uk-UA"/>
        </w:rPr>
        <w:t xml:space="preserve"> </w:t>
      </w:r>
      <w:r w:rsidRPr="00557F84">
        <w:rPr>
          <w:b/>
          <w:lang w:val="uk-UA"/>
        </w:rPr>
        <w:t>Гарантійні зобов’язання</w:t>
      </w:r>
      <w:r w:rsidRPr="00557F84">
        <w:rPr>
          <w:u w:val="single"/>
          <w:lang w:val="uk-UA"/>
        </w:rPr>
        <w:t>:</w:t>
      </w:r>
    </w:p>
    <w:p w:rsidR="00FC17D0" w:rsidRPr="00557F84" w:rsidRDefault="0006263B" w:rsidP="00FC17D0">
      <w:pPr>
        <w:pStyle w:val="a4"/>
        <w:numPr>
          <w:ilvl w:val="0"/>
          <w:numId w:val="5"/>
        </w:numPr>
        <w:ind w:left="0" w:hanging="284"/>
        <w:jc w:val="both"/>
        <w:rPr>
          <w:lang w:val="uk-UA"/>
        </w:rPr>
      </w:pPr>
      <w:r w:rsidRPr="00557F84">
        <w:rPr>
          <w:lang w:val="uk-UA"/>
        </w:rPr>
        <w:t>Учасник гарантує, що якісні характеристики предмета закупівлі відповідають встановленим законодавством нормам.</w:t>
      </w:r>
    </w:p>
    <w:p w:rsidR="00FC17D0" w:rsidRPr="00FC5A5A" w:rsidRDefault="00FC17D0" w:rsidP="002F339C">
      <w:pPr>
        <w:pStyle w:val="a4"/>
        <w:numPr>
          <w:ilvl w:val="0"/>
          <w:numId w:val="5"/>
        </w:numPr>
        <w:ind w:left="0" w:hanging="284"/>
        <w:jc w:val="both"/>
        <w:rPr>
          <w:lang w:val="uk-UA"/>
        </w:rPr>
      </w:pPr>
      <w:r w:rsidRPr="00FC5A5A">
        <w:rPr>
          <w:bCs/>
          <w:color w:val="000000"/>
          <w:lang w:val="uk-UA"/>
        </w:rPr>
        <w:t>Продавець</w:t>
      </w:r>
      <w:r w:rsidRPr="00FC5A5A">
        <w:rPr>
          <w:color w:val="000000"/>
          <w:lang w:val="uk-UA"/>
        </w:rPr>
        <w:t xml:space="preserve"> гарантує якість та надійність Товару і забезпечує його гарантійне супроводження на період дії  гарантій від виробника. </w:t>
      </w:r>
    </w:p>
    <w:p w:rsidR="0006263B" w:rsidRPr="00FC5A5A" w:rsidRDefault="0006263B" w:rsidP="0006263B">
      <w:pPr>
        <w:pStyle w:val="a7"/>
        <w:numPr>
          <w:ilvl w:val="0"/>
          <w:numId w:val="5"/>
        </w:numPr>
        <w:ind w:left="0" w:hanging="284"/>
        <w:jc w:val="both"/>
        <w:rPr>
          <w:rFonts w:ascii="Times New Roman" w:hAnsi="Times New Roman" w:cs="Times New Roman"/>
          <w:lang w:val="uk-UA"/>
        </w:rPr>
      </w:pPr>
      <w:r w:rsidRPr="00FC5A5A">
        <w:rPr>
          <w:rFonts w:ascii="Times New Roman" w:eastAsia="Times New Roman" w:hAnsi="Times New Roman" w:cs="Times New Roman"/>
          <w:color w:val="000000"/>
          <w:lang w:val="uk-UA" w:eastAsia="ru-RU"/>
        </w:rPr>
        <w:t>Якщо товар виявиться неякісним або таким, що не відповідає технічним (якісним) умовам, Учасник зобов’язаний його замінити. Всі витрати, пов’язані із заміною товару неналежної якості (транспортні витрати, тощо) несе Постачальник.</w:t>
      </w:r>
    </w:p>
    <w:p w:rsidR="00F14810" w:rsidRPr="00FC5A5A" w:rsidRDefault="0006263B" w:rsidP="0006263B">
      <w:pPr>
        <w:jc w:val="both"/>
        <w:rPr>
          <w:lang w:val="uk-UA"/>
        </w:rPr>
      </w:pPr>
      <w:r w:rsidRPr="00FC5A5A">
        <w:rPr>
          <w:lang w:val="uk-UA"/>
        </w:rPr>
        <w:t>Фінансові умови контракту: оплата після поставки.</w:t>
      </w:r>
      <w:bookmarkEnd w:id="0"/>
    </w:p>
    <w:p w:rsidR="004F2B08" w:rsidRPr="00FC5A5A" w:rsidRDefault="004F2B08" w:rsidP="00F14810">
      <w:pPr>
        <w:jc w:val="both"/>
        <w:rPr>
          <w:lang w:val="uk-UA"/>
        </w:rPr>
      </w:pPr>
    </w:p>
    <w:p w:rsidR="00E66681" w:rsidRPr="00FC5A5A" w:rsidRDefault="00E66681" w:rsidP="00E66681">
      <w:pPr>
        <w:jc w:val="both"/>
        <w:rPr>
          <w:b/>
          <w:lang w:val="uk-UA"/>
        </w:rPr>
      </w:pPr>
      <w:r w:rsidRPr="00FC5A5A">
        <w:rPr>
          <w:lang w:val="uk-UA"/>
        </w:rPr>
        <w:t xml:space="preserve">               </w:t>
      </w:r>
      <w:r w:rsidRPr="00FC5A5A">
        <w:rPr>
          <w:b/>
          <w:lang w:val="uk-UA"/>
        </w:rPr>
        <w:t>Ми (Я), _________________ згодні та підтверджуємо свою можливість і готовність виконувати усі технічні, якісні вимоги Замовника, зазначені у Вимогах до предмета закупівлі.</w:t>
      </w:r>
    </w:p>
    <w:p w:rsidR="00FC17D0" w:rsidRPr="00FC5A5A" w:rsidRDefault="00E66681" w:rsidP="00CC7D72">
      <w:pPr>
        <w:ind w:hanging="360"/>
        <w:jc w:val="both"/>
        <w:rPr>
          <w:b/>
          <w:lang w:val="uk-UA"/>
        </w:rPr>
      </w:pPr>
      <w:r w:rsidRPr="00FC5A5A">
        <w:rPr>
          <w:b/>
          <w:lang w:val="uk-UA"/>
        </w:rPr>
        <w:t xml:space="preserve">      Дата: _____________         </w:t>
      </w:r>
      <w:r w:rsidR="00CC7D72" w:rsidRPr="00FC5A5A">
        <w:rPr>
          <w:b/>
          <w:lang w:val="uk-UA"/>
        </w:rPr>
        <w:t xml:space="preserve">       </w:t>
      </w:r>
      <w:r w:rsidR="00FC17D0" w:rsidRPr="00FC5A5A">
        <w:rPr>
          <w:b/>
          <w:lang w:val="uk-UA"/>
        </w:rPr>
        <w:t xml:space="preserve">   </w:t>
      </w:r>
      <w:r w:rsidR="00CC7D72" w:rsidRPr="00FC5A5A">
        <w:rPr>
          <w:b/>
          <w:lang w:val="uk-UA"/>
        </w:rPr>
        <w:t xml:space="preserve">              ___________</w:t>
      </w:r>
      <w:r w:rsidRPr="00FC5A5A">
        <w:rPr>
          <w:b/>
          <w:lang w:val="uk-UA"/>
        </w:rPr>
        <w:t xml:space="preserve">                           ________________</w:t>
      </w:r>
      <w:r w:rsidR="00CC7D72" w:rsidRPr="00FC5A5A">
        <w:rPr>
          <w:b/>
          <w:lang w:val="uk-UA"/>
        </w:rPr>
        <w:t>_____</w:t>
      </w:r>
      <w:r w:rsidRPr="00FC5A5A">
        <w:rPr>
          <w:b/>
          <w:lang w:val="uk-UA"/>
        </w:rPr>
        <w:t xml:space="preserve"> </w:t>
      </w:r>
      <w:r w:rsidR="00CC7D72" w:rsidRPr="00FC5A5A">
        <w:rPr>
          <w:b/>
          <w:lang w:val="uk-UA"/>
        </w:rPr>
        <w:t xml:space="preserve">                             </w:t>
      </w:r>
      <w:r w:rsidR="00FC17D0" w:rsidRPr="00FC5A5A">
        <w:rPr>
          <w:b/>
          <w:lang w:val="uk-UA"/>
        </w:rPr>
        <w:t xml:space="preserve">              </w:t>
      </w:r>
    </w:p>
    <w:p w:rsidR="00CC7D72" w:rsidRPr="00FC5A5A" w:rsidRDefault="00FC17D0" w:rsidP="00CC7D72">
      <w:pPr>
        <w:ind w:hanging="360"/>
        <w:jc w:val="both"/>
        <w:rPr>
          <w:bCs/>
          <w:lang w:val="uk-UA"/>
        </w:rPr>
      </w:pPr>
      <w:r w:rsidRPr="00FC5A5A">
        <w:rPr>
          <w:b/>
          <w:lang w:val="uk-UA"/>
        </w:rPr>
        <w:t xml:space="preserve">                                                                                 </w:t>
      </w:r>
      <w:r w:rsidR="00E66681" w:rsidRPr="00FC5A5A">
        <w:rPr>
          <w:bCs/>
          <w:lang w:val="uk-UA"/>
        </w:rPr>
        <w:t xml:space="preserve">(підпис) </w:t>
      </w:r>
      <w:r w:rsidR="00CC7D72" w:rsidRPr="00FC5A5A">
        <w:rPr>
          <w:bCs/>
          <w:lang w:val="uk-UA"/>
        </w:rPr>
        <w:t xml:space="preserve">                               (прізвище та ініціали) </w:t>
      </w:r>
    </w:p>
    <w:p w:rsidR="00E66681" w:rsidRPr="00FC5A5A" w:rsidRDefault="00E66681" w:rsidP="00E66681">
      <w:pPr>
        <w:ind w:firstLine="708"/>
        <w:rPr>
          <w:lang w:val="uk-UA"/>
        </w:rPr>
      </w:pPr>
      <w:r w:rsidRPr="00FC5A5A">
        <w:rPr>
          <w:lang w:val="uk-UA"/>
        </w:rPr>
        <w:t>М.П</w:t>
      </w:r>
      <w:r w:rsidRPr="00FC5A5A">
        <w:rPr>
          <w:i/>
          <w:lang w:val="uk-UA"/>
        </w:rPr>
        <w:t xml:space="preserve">.  </w:t>
      </w:r>
    </w:p>
    <w:p w:rsidR="00C909EB" w:rsidRPr="00FC5A5A" w:rsidRDefault="00C909EB" w:rsidP="00E66681">
      <w:pPr>
        <w:ind w:firstLine="708"/>
        <w:jc w:val="both"/>
        <w:rPr>
          <w:lang w:val="uk-UA" w:eastAsia="uk-UA"/>
        </w:rPr>
      </w:pPr>
    </w:p>
    <w:sectPr w:rsidR="00C909EB" w:rsidRPr="00FC5A5A" w:rsidSect="00736AF1">
      <w:pgSz w:w="11906" w:h="16838"/>
      <w:pgMar w:top="567" w:right="737" w:bottom="45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70E82"/>
    <w:multiLevelType w:val="hybridMultilevel"/>
    <w:tmpl w:val="CEAE72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1B427CB"/>
    <w:multiLevelType w:val="hybridMultilevel"/>
    <w:tmpl w:val="79BA3648"/>
    <w:lvl w:ilvl="0" w:tplc="6F5CA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EDA1029"/>
    <w:multiLevelType w:val="hybridMultilevel"/>
    <w:tmpl w:val="702E30A0"/>
    <w:lvl w:ilvl="0" w:tplc="00006B89">
      <w:start w:val="1"/>
      <w:numFmt w:val="bullet"/>
      <w:lvlText w:val="-"/>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 w15:restartNumberingAfterBreak="0">
    <w:nsid w:val="3CC9289B"/>
    <w:multiLevelType w:val="hybridMultilevel"/>
    <w:tmpl w:val="D5E2C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5454504D"/>
    <w:multiLevelType w:val="hybridMultilevel"/>
    <w:tmpl w:val="139EF028"/>
    <w:lvl w:ilvl="0" w:tplc="206068B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C4EFB"/>
    <w:rsid w:val="00020196"/>
    <w:rsid w:val="0003148B"/>
    <w:rsid w:val="000460B0"/>
    <w:rsid w:val="00052FB7"/>
    <w:rsid w:val="000567F4"/>
    <w:rsid w:val="0006263B"/>
    <w:rsid w:val="000B2B0E"/>
    <w:rsid w:val="000D4F5E"/>
    <w:rsid w:val="000F071B"/>
    <w:rsid w:val="0011457A"/>
    <w:rsid w:val="00137BE9"/>
    <w:rsid w:val="001852DF"/>
    <w:rsid w:val="001A17A0"/>
    <w:rsid w:val="001E7B56"/>
    <w:rsid w:val="00200C5B"/>
    <w:rsid w:val="00225AFB"/>
    <w:rsid w:val="002412E7"/>
    <w:rsid w:val="0024526E"/>
    <w:rsid w:val="002C4EFB"/>
    <w:rsid w:val="002F339C"/>
    <w:rsid w:val="00304F2F"/>
    <w:rsid w:val="00313284"/>
    <w:rsid w:val="00352563"/>
    <w:rsid w:val="00357440"/>
    <w:rsid w:val="003A7E29"/>
    <w:rsid w:val="003C412E"/>
    <w:rsid w:val="003F49A5"/>
    <w:rsid w:val="004213F9"/>
    <w:rsid w:val="00431469"/>
    <w:rsid w:val="0044646B"/>
    <w:rsid w:val="00474639"/>
    <w:rsid w:val="004A2FA1"/>
    <w:rsid w:val="004B3D7F"/>
    <w:rsid w:val="004F13CE"/>
    <w:rsid w:val="004F2B08"/>
    <w:rsid w:val="00506D32"/>
    <w:rsid w:val="0050731D"/>
    <w:rsid w:val="00510C9C"/>
    <w:rsid w:val="00516462"/>
    <w:rsid w:val="00532B9B"/>
    <w:rsid w:val="005550CA"/>
    <w:rsid w:val="0055613D"/>
    <w:rsid w:val="00557F84"/>
    <w:rsid w:val="005757AF"/>
    <w:rsid w:val="00577519"/>
    <w:rsid w:val="00583F13"/>
    <w:rsid w:val="005870A7"/>
    <w:rsid w:val="00590C55"/>
    <w:rsid w:val="0059482F"/>
    <w:rsid w:val="005A052D"/>
    <w:rsid w:val="005A45CA"/>
    <w:rsid w:val="005E67FB"/>
    <w:rsid w:val="005F775D"/>
    <w:rsid w:val="00604944"/>
    <w:rsid w:val="00644DC8"/>
    <w:rsid w:val="0064574A"/>
    <w:rsid w:val="00696E5F"/>
    <w:rsid w:val="006A4F2C"/>
    <w:rsid w:val="006D44E7"/>
    <w:rsid w:val="006D5CD8"/>
    <w:rsid w:val="007071C8"/>
    <w:rsid w:val="00713BEB"/>
    <w:rsid w:val="00715DC7"/>
    <w:rsid w:val="00726CF4"/>
    <w:rsid w:val="00731F81"/>
    <w:rsid w:val="00735FE8"/>
    <w:rsid w:val="00736AF1"/>
    <w:rsid w:val="007416CF"/>
    <w:rsid w:val="00752032"/>
    <w:rsid w:val="00794CEA"/>
    <w:rsid w:val="007B5395"/>
    <w:rsid w:val="007D3FF4"/>
    <w:rsid w:val="007F1A38"/>
    <w:rsid w:val="007F5EFC"/>
    <w:rsid w:val="00802C0F"/>
    <w:rsid w:val="00806012"/>
    <w:rsid w:val="0081263A"/>
    <w:rsid w:val="0081656A"/>
    <w:rsid w:val="00844CB7"/>
    <w:rsid w:val="008645B0"/>
    <w:rsid w:val="008E401F"/>
    <w:rsid w:val="008E4116"/>
    <w:rsid w:val="009037C7"/>
    <w:rsid w:val="00934DF5"/>
    <w:rsid w:val="00936192"/>
    <w:rsid w:val="0094746D"/>
    <w:rsid w:val="009559D4"/>
    <w:rsid w:val="0095600C"/>
    <w:rsid w:val="009565BE"/>
    <w:rsid w:val="0097277F"/>
    <w:rsid w:val="00980854"/>
    <w:rsid w:val="009A1DA2"/>
    <w:rsid w:val="009B6202"/>
    <w:rsid w:val="009C42D7"/>
    <w:rsid w:val="009E645E"/>
    <w:rsid w:val="009F1B5C"/>
    <w:rsid w:val="00A05460"/>
    <w:rsid w:val="00A235E3"/>
    <w:rsid w:val="00A26AB1"/>
    <w:rsid w:val="00A713AE"/>
    <w:rsid w:val="00A76A27"/>
    <w:rsid w:val="00AB33DB"/>
    <w:rsid w:val="00AC2A61"/>
    <w:rsid w:val="00AE42E9"/>
    <w:rsid w:val="00AF7A13"/>
    <w:rsid w:val="00B02B69"/>
    <w:rsid w:val="00B13207"/>
    <w:rsid w:val="00B17B56"/>
    <w:rsid w:val="00B23F76"/>
    <w:rsid w:val="00B2483F"/>
    <w:rsid w:val="00B2584E"/>
    <w:rsid w:val="00B26CF3"/>
    <w:rsid w:val="00B30002"/>
    <w:rsid w:val="00B359F6"/>
    <w:rsid w:val="00B7418C"/>
    <w:rsid w:val="00B900C5"/>
    <w:rsid w:val="00B93662"/>
    <w:rsid w:val="00BD48FB"/>
    <w:rsid w:val="00BE13F8"/>
    <w:rsid w:val="00C35738"/>
    <w:rsid w:val="00C377DD"/>
    <w:rsid w:val="00C76C1A"/>
    <w:rsid w:val="00C80F13"/>
    <w:rsid w:val="00C87B9E"/>
    <w:rsid w:val="00C909EB"/>
    <w:rsid w:val="00CA6DB1"/>
    <w:rsid w:val="00CC74C6"/>
    <w:rsid w:val="00CC7D72"/>
    <w:rsid w:val="00CE5423"/>
    <w:rsid w:val="00D3429F"/>
    <w:rsid w:val="00D45A1C"/>
    <w:rsid w:val="00D63384"/>
    <w:rsid w:val="00D75F6A"/>
    <w:rsid w:val="00D901DA"/>
    <w:rsid w:val="00DE21D6"/>
    <w:rsid w:val="00DF0D62"/>
    <w:rsid w:val="00E065BD"/>
    <w:rsid w:val="00E42C81"/>
    <w:rsid w:val="00E63A01"/>
    <w:rsid w:val="00E664E6"/>
    <w:rsid w:val="00E66681"/>
    <w:rsid w:val="00E70F9E"/>
    <w:rsid w:val="00ED6DD8"/>
    <w:rsid w:val="00F016D5"/>
    <w:rsid w:val="00F14810"/>
    <w:rsid w:val="00F654EF"/>
    <w:rsid w:val="00F67CE2"/>
    <w:rsid w:val="00F86C04"/>
    <w:rsid w:val="00FC17D0"/>
    <w:rsid w:val="00FC5A5A"/>
    <w:rsid w:val="00FE1E58"/>
    <w:rsid w:val="00FF0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B5B1"/>
  <w15:docId w15:val="{1F79D731-FCED-4BF7-8BA8-2C728CFE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EF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00C5B"/>
    <w:pPr>
      <w:spacing w:after="0"/>
    </w:pPr>
    <w:rPr>
      <w:rFonts w:ascii="Arial" w:eastAsia="Arial" w:hAnsi="Arial" w:cs="Arial"/>
      <w:color w:val="000000"/>
      <w:lang w:eastAsia="ru-RU"/>
    </w:rPr>
  </w:style>
  <w:style w:type="paragraph" w:styleId="a3">
    <w:name w:val="No Spacing"/>
    <w:uiPriority w:val="1"/>
    <w:qFormat/>
    <w:rsid w:val="0055613D"/>
    <w:pPr>
      <w:spacing w:after="0" w:line="240" w:lineRule="auto"/>
    </w:pPr>
    <w:rPr>
      <w:rFonts w:ascii="Times New Roman" w:eastAsia="Calibri" w:hAnsi="Times New Roman" w:cs="Times New Roman"/>
      <w:sz w:val="24"/>
      <w:szCs w:val="24"/>
      <w:lang w:eastAsia="ru-RU"/>
    </w:rPr>
  </w:style>
  <w:style w:type="paragraph" w:styleId="a4">
    <w:name w:val="List Paragraph"/>
    <w:aliases w:val="1 Буллет,заголовок 1.1,Elenco Normale,List Paragraph,Список уровня 2,название табл/рис,Chapter10"/>
    <w:basedOn w:val="a"/>
    <w:link w:val="a5"/>
    <w:uiPriority w:val="34"/>
    <w:qFormat/>
    <w:rsid w:val="0081656A"/>
    <w:pPr>
      <w:ind w:left="720"/>
      <w:contextualSpacing/>
    </w:pPr>
  </w:style>
  <w:style w:type="paragraph" w:customStyle="1" w:styleId="2403">
    <w:name w:val="2403"/>
    <w:aliases w:val="baiaagaaboqcaaadmwuaaawpbqaaaaaaaaaaaaaaaaaaaaaaaaaaaaaaaaaaaaaaaaaaaaaaaaaaaaaaaaaaaaaaaaaaaaaaaaaaaaaaaaaaaaaaaaaaaaaaaaaaaaaaaaaaaaaaaaaaaaaaaaaaaaaaaaaaaaaaaaaaaaaaaaaaaaaaaaaaaaaaaaaaaaaaaaaaaaaaaaaaaaaaaaaaaaaaaaaaaaaaaaaaaaaa"/>
    <w:basedOn w:val="a"/>
    <w:rsid w:val="00583F13"/>
    <w:pPr>
      <w:spacing w:before="100" w:beforeAutospacing="1" w:after="100" w:afterAutospacing="1"/>
    </w:pPr>
    <w:rPr>
      <w:rFonts w:eastAsia="Times New Roman"/>
    </w:rPr>
  </w:style>
  <w:style w:type="character" w:customStyle="1" w:styleId="a6">
    <w:name w:val="Звичайний (веб)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w:link w:val="a7"/>
    <w:uiPriority w:val="99"/>
    <w:locked/>
    <w:rsid w:val="000D4F5E"/>
    <w:rPr>
      <w:sz w:val="24"/>
      <w:szCs w:val="24"/>
    </w:rPr>
  </w:style>
  <w:style w:type="paragraph" w:styleId="a7">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6"/>
    <w:uiPriority w:val="99"/>
    <w:unhideWhenUsed/>
    <w:qFormat/>
    <w:rsid w:val="000D4F5E"/>
    <w:pPr>
      <w:spacing w:after="0" w:line="240" w:lineRule="auto"/>
    </w:pPr>
    <w:rPr>
      <w:sz w:val="24"/>
      <w:szCs w:val="24"/>
    </w:rPr>
  </w:style>
  <w:style w:type="character" w:customStyle="1" w:styleId="a5">
    <w:name w:val="Абзац списку Знак"/>
    <w:aliases w:val="1 Буллет Знак,заголовок 1.1 Знак,Elenco Normale Знак,List Paragraph Знак,Список уровня 2 Знак,название табл/рис Знак,Chapter10 Знак"/>
    <w:link w:val="a4"/>
    <w:uiPriority w:val="34"/>
    <w:locked/>
    <w:rsid w:val="000D4F5E"/>
    <w:rPr>
      <w:rFonts w:ascii="Times New Roman" w:eastAsia="Calibri" w:hAnsi="Times New Roman" w:cs="Times New Roman"/>
      <w:sz w:val="24"/>
      <w:szCs w:val="24"/>
      <w:lang w:eastAsia="ru-RU"/>
    </w:rPr>
  </w:style>
  <w:style w:type="paragraph" w:customStyle="1" w:styleId="Default">
    <w:name w:val="Default"/>
    <w:rsid w:val="00F14810"/>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ListParagraphChar">
    <w:name w:val="List Paragraph Char"/>
    <w:locked/>
    <w:rsid w:val="00352563"/>
    <w:rPr>
      <w:sz w:val="24"/>
      <w:szCs w:val="24"/>
      <w:lang w:val="uk-UA" w:eastAsia="ru-RU" w:bidi="ar-SA"/>
    </w:rPr>
  </w:style>
  <w:style w:type="table" w:styleId="a8">
    <w:name w:val="Table Grid"/>
    <w:basedOn w:val="a1"/>
    <w:uiPriority w:val="59"/>
    <w:rsid w:val="00B23F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2462">
      <w:bodyDiv w:val="1"/>
      <w:marLeft w:val="0"/>
      <w:marRight w:val="0"/>
      <w:marTop w:val="0"/>
      <w:marBottom w:val="0"/>
      <w:divBdr>
        <w:top w:val="none" w:sz="0" w:space="0" w:color="auto"/>
        <w:left w:val="none" w:sz="0" w:space="0" w:color="auto"/>
        <w:bottom w:val="none" w:sz="0" w:space="0" w:color="auto"/>
        <w:right w:val="none" w:sz="0" w:space="0" w:color="auto"/>
      </w:divBdr>
    </w:div>
    <w:div w:id="126243551">
      <w:bodyDiv w:val="1"/>
      <w:marLeft w:val="0"/>
      <w:marRight w:val="0"/>
      <w:marTop w:val="0"/>
      <w:marBottom w:val="0"/>
      <w:divBdr>
        <w:top w:val="none" w:sz="0" w:space="0" w:color="auto"/>
        <w:left w:val="none" w:sz="0" w:space="0" w:color="auto"/>
        <w:bottom w:val="none" w:sz="0" w:space="0" w:color="auto"/>
        <w:right w:val="none" w:sz="0" w:space="0" w:color="auto"/>
      </w:divBdr>
    </w:div>
    <w:div w:id="317921513">
      <w:bodyDiv w:val="1"/>
      <w:marLeft w:val="0"/>
      <w:marRight w:val="0"/>
      <w:marTop w:val="0"/>
      <w:marBottom w:val="0"/>
      <w:divBdr>
        <w:top w:val="none" w:sz="0" w:space="0" w:color="auto"/>
        <w:left w:val="none" w:sz="0" w:space="0" w:color="auto"/>
        <w:bottom w:val="none" w:sz="0" w:space="0" w:color="auto"/>
        <w:right w:val="none" w:sz="0" w:space="0" w:color="auto"/>
      </w:divBdr>
    </w:div>
    <w:div w:id="664020488">
      <w:bodyDiv w:val="1"/>
      <w:marLeft w:val="0"/>
      <w:marRight w:val="0"/>
      <w:marTop w:val="0"/>
      <w:marBottom w:val="0"/>
      <w:divBdr>
        <w:top w:val="none" w:sz="0" w:space="0" w:color="auto"/>
        <w:left w:val="none" w:sz="0" w:space="0" w:color="auto"/>
        <w:bottom w:val="none" w:sz="0" w:space="0" w:color="auto"/>
        <w:right w:val="none" w:sz="0" w:space="0" w:color="auto"/>
      </w:divBdr>
    </w:div>
    <w:div w:id="798884239">
      <w:bodyDiv w:val="1"/>
      <w:marLeft w:val="0"/>
      <w:marRight w:val="0"/>
      <w:marTop w:val="0"/>
      <w:marBottom w:val="0"/>
      <w:divBdr>
        <w:top w:val="none" w:sz="0" w:space="0" w:color="auto"/>
        <w:left w:val="none" w:sz="0" w:space="0" w:color="auto"/>
        <w:bottom w:val="none" w:sz="0" w:space="0" w:color="auto"/>
        <w:right w:val="none" w:sz="0" w:space="0" w:color="auto"/>
      </w:divBdr>
    </w:div>
    <w:div w:id="1463963891">
      <w:bodyDiv w:val="1"/>
      <w:marLeft w:val="0"/>
      <w:marRight w:val="0"/>
      <w:marTop w:val="0"/>
      <w:marBottom w:val="0"/>
      <w:divBdr>
        <w:top w:val="none" w:sz="0" w:space="0" w:color="auto"/>
        <w:left w:val="none" w:sz="0" w:space="0" w:color="auto"/>
        <w:bottom w:val="none" w:sz="0" w:space="0" w:color="auto"/>
        <w:right w:val="none" w:sz="0" w:space="0" w:color="auto"/>
      </w:divBdr>
    </w:div>
    <w:div w:id="1632520031">
      <w:bodyDiv w:val="1"/>
      <w:marLeft w:val="0"/>
      <w:marRight w:val="0"/>
      <w:marTop w:val="0"/>
      <w:marBottom w:val="0"/>
      <w:divBdr>
        <w:top w:val="none" w:sz="0" w:space="0" w:color="auto"/>
        <w:left w:val="none" w:sz="0" w:space="0" w:color="auto"/>
        <w:bottom w:val="none" w:sz="0" w:space="0" w:color="auto"/>
        <w:right w:val="none" w:sz="0" w:space="0" w:color="auto"/>
      </w:divBdr>
    </w:div>
    <w:div w:id="1664310222">
      <w:bodyDiv w:val="1"/>
      <w:marLeft w:val="0"/>
      <w:marRight w:val="0"/>
      <w:marTop w:val="0"/>
      <w:marBottom w:val="0"/>
      <w:divBdr>
        <w:top w:val="none" w:sz="0" w:space="0" w:color="auto"/>
        <w:left w:val="none" w:sz="0" w:space="0" w:color="auto"/>
        <w:bottom w:val="none" w:sz="0" w:space="0" w:color="auto"/>
        <w:right w:val="none" w:sz="0" w:space="0" w:color="auto"/>
      </w:divBdr>
    </w:div>
    <w:div w:id="187847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3</Pages>
  <Words>5702</Words>
  <Characters>3251</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150</cp:revision>
  <dcterms:created xsi:type="dcterms:W3CDTF">2021-12-09T05:53:00Z</dcterms:created>
  <dcterms:modified xsi:type="dcterms:W3CDTF">2024-03-15T07:22:00Z</dcterms:modified>
</cp:coreProperties>
</file>