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C" w:rsidRPr="006F333C" w:rsidRDefault="006F333C" w:rsidP="003F754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F333C">
        <w:rPr>
          <w:rFonts w:ascii="Times New Roman" w:hAnsi="Times New Roman"/>
          <w:b/>
          <w:sz w:val="24"/>
          <w:szCs w:val="24"/>
          <w:lang w:val="uk-UA"/>
        </w:rPr>
        <w:t>Комунальний заклад загальної середньої освіти «Початкова школа № 2 Хмельницької міської ради»</w:t>
      </w:r>
    </w:p>
    <w:p w:rsidR="003F754C" w:rsidRPr="006C0193" w:rsidRDefault="003F754C" w:rsidP="003F754C">
      <w:pPr>
        <w:pStyle w:val="Standard"/>
        <w:jc w:val="right"/>
        <w:rPr>
          <w:color w:val="auto"/>
          <w:lang w:val="uk-UA"/>
        </w:rPr>
      </w:pPr>
      <w:r w:rsidRPr="006C0193">
        <w:rPr>
          <w:color w:val="auto"/>
          <w:lang w:val="uk-UA"/>
        </w:rPr>
        <w:t xml:space="preserve"> «Затверджено» </w:t>
      </w:r>
    </w:p>
    <w:p w:rsidR="003F754C" w:rsidRPr="006C0193" w:rsidRDefault="003F754C" w:rsidP="003F754C">
      <w:pPr>
        <w:pStyle w:val="Standard"/>
        <w:jc w:val="right"/>
        <w:rPr>
          <w:color w:val="auto"/>
          <w:lang w:val="uk-UA"/>
        </w:rPr>
      </w:pPr>
      <w:r w:rsidRPr="006C0193">
        <w:rPr>
          <w:color w:val="auto"/>
          <w:lang w:val="uk-UA"/>
        </w:rPr>
        <w:t>Уповноважена особа:</w:t>
      </w:r>
    </w:p>
    <w:p w:rsidR="003F754C" w:rsidRDefault="00ED2A4F" w:rsidP="003F754C">
      <w:pPr>
        <w:pStyle w:val="Standard"/>
        <w:jc w:val="right"/>
        <w:rPr>
          <w:color w:val="auto"/>
          <w:lang w:val="uk-UA"/>
        </w:rPr>
      </w:pPr>
      <w:proofErr w:type="spellStart"/>
      <w:r>
        <w:rPr>
          <w:rStyle w:val="relative"/>
          <w:lang w:val="uk-UA"/>
        </w:rPr>
        <w:t>Чебанаш</w:t>
      </w:r>
      <w:proofErr w:type="spellEnd"/>
      <w:r>
        <w:rPr>
          <w:rStyle w:val="relative"/>
          <w:lang w:val="uk-UA"/>
        </w:rPr>
        <w:t xml:space="preserve"> Олеся </w:t>
      </w:r>
    </w:p>
    <w:p w:rsidR="003F754C" w:rsidRPr="0048208E" w:rsidRDefault="003F754C" w:rsidP="003F754C">
      <w:pPr>
        <w:pStyle w:val="Standard"/>
        <w:jc w:val="right"/>
        <w:rPr>
          <w:color w:val="auto"/>
          <w:lang w:val="uk-UA"/>
        </w:rPr>
      </w:pPr>
      <w:r w:rsidRPr="00747E44">
        <w:rPr>
          <w:color w:val="auto"/>
          <w:lang w:val="uk-UA"/>
        </w:rPr>
        <w:t>«</w:t>
      </w:r>
      <w:r w:rsidR="00747E44" w:rsidRPr="00747E44">
        <w:rPr>
          <w:color w:val="auto"/>
          <w:lang w:val="uk-UA"/>
        </w:rPr>
        <w:t>12</w:t>
      </w:r>
      <w:r w:rsidR="001F658B" w:rsidRPr="00747E44">
        <w:rPr>
          <w:color w:val="auto"/>
          <w:lang w:val="uk-UA"/>
        </w:rPr>
        <w:t>» серпня</w:t>
      </w:r>
      <w:r w:rsidR="00ED2A4F" w:rsidRPr="00747E44">
        <w:rPr>
          <w:color w:val="auto"/>
          <w:lang w:val="uk-UA"/>
        </w:rPr>
        <w:t xml:space="preserve"> 2022</w:t>
      </w:r>
      <w:r w:rsidRPr="00747E44">
        <w:rPr>
          <w:color w:val="auto"/>
          <w:lang w:val="uk-UA"/>
        </w:rPr>
        <w:t xml:space="preserve"> року</w:t>
      </w:r>
    </w:p>
    <w:p w:rsidR="003F754C" w:rsidRPr="006C0193" w:rsidRDefault="003F754C" w:rsidP="003F754C">
      <w:pPr>
        <w:pStyle w:val="Standard"/>
        <w:jc w:val="center"/>
        <w:rPr>
          <w:b/>
          <w:color w:val="auto"/>
          <w:lang w:val="uk-UA" w:eastAsia="uk-UA"/>
        </w:rPr>
      </w:pPr>
      <w:r w:rsidRPr="0048208E">
        <w:rPr>
          <w:b/>
          <w:bCs/>
          <w:color w:val="auto"/>
          <w:lang w:val="uk-UA"/>
        </w:rPr>
        <w:t>ОГОЛОШЕННЯ</w:t>
      </w:r>
      <w:r w:rsidRPr="006C0193">
        <w:rPr>
          <w:b/>
          <w:bCs/>
          <w:color w:val="auto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9"/>
        <w:gridCol w:w="5312"/>
      </w:tblGrid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</w:t>
            </w:r>
            <w:proofErr w:type="spellStart"/>
            <w:r w:rsidRPr="00084F88">
              <w:rPr>
                <w:sz w:val="22"/>
                <w:szCs w:val="22"/>
                <w:lang w:val="uk-UA"/>
              </w:rPr>
              <w:t>громадских</w:t>
            </w:r>
            <w:proofErr w:type="spellEnd"/>
            <w:r w:rsidRPr="00084F88">
              <w:rPr>
                <w:sz w:val="22"/>
                <w:szCs w:val="22"/>
                <w:lang w:val="uk-UA"/>
              </w:rPr>
              <w:t xml:space="preserve"> формувань, його категорія</w:t>
            </w:r>
            <w:bookmarkStart w:id="0" w:name="n414"/>
            <w:bookmarkStart w:id="1" w:name="n415"/>
            <w:bookmarkStart w:id="2" w:name="n416"/>
            <w:bookmarkStart w:id="3" w:name="n417"/>
            <w:bookmarkStart w:id="4" w:name="n418"/>
            <w:bookmarkStart w:id="5" w:name="n419"/>
            <w:bookmarkStart w:id="6" w:name="n420"/>
            <w:bookmarkStart w:id="7" w:name="n421"/>
            <w:bookmarkStart w:id="8" w:name="n422"/>
            <w:bookmarkStart w:id="9" w:name="n423"/>
            <w:bookmarkStart w:id="10" w:name="n424"/>
            <w:bookmarkStart w:id="11" w:name="n42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28" w:type="dxa"/>
          </w:tcPr>
          <w:p w:rsidR="006F333C" w:rsidRPr="006F333C" w:rsidRDefault="006F333C" w:rsidP="00A753E7">
            <w:pPr>
              <w:pStyle w:val="1"/>
              <w:rPr>
                <w:rFonts w:ascii="Times New Roman" w:hAnsi="Times New Roman"/>
                <w:i/>
                <w:highlight w:val="yellow"/>
              </w:rPr>
            </w:pPr>
            <w:r w:rsidRPr="006F333C">
              <w:rPr>
                <w:rFonts w:ascii="Times New Roman" w:hAnsi="Times New Roman"/>
                <w:i/>
                <w:lang w:val="uk-UA"/>
              </w:rPr>
              <w:t>Комунальний заклад загальної середньої освіти «Початкова школа № 2 Хмельницької міської ради»</w:t>
            </w:r>
          </w:p>
          <w:p w:rsidR="003F754C" w:rsidRPr="006F333C" w:rsidRDefault="003F754C" w:rsidP="00A753E7">
            <w:pPr>
              <w:pStyle w:val="1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F333C">
              <w:rPr>
                <w:rFonts w:ascii="Times New Roman" w:hAnsi="Times New Roman"/>
                <w:i/>
              </w:rPr>
              <w:t>вул.Старокостянтинівське</w:t>
            </w:r>
            <w:proofErr w:type="spellEnd"/>
            <w:proofErr w:type="gramEnd"/>
            <w:r w:rsidRPr="006F33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F333C">
              <w:rPr>
                <w:rFonts w:ascii="Times New Roman" w:hAnsi="Times New Roman"/>
                <w:i/>
              </w:rPr>
              <w:t>шосе</w:t>
            </w:r>
            <w:proofErr w:type="spellEnd"/>
            <w:r w:rsidRPr="006F333C">
              <w:rPr>
                <w:rFonts w:ascii="Times New Roman" w:hAnsi="Times New Roman"/>
                <w:i/>
              </w:rPr>
              <w:t xml:space="preserve">, 3Б, </w:t>
            </w:r>
            <w:proofErr w:type="spellStart"/>
            <w:r w:rsidRPr="006F333C">
              <w:rPr>
                <w:rFonts w:ascii="Times New Roman" w:hAnsi="Times New Roman"/>
                <w:i/>
              </w:rPr>
              <w:t>м.Хмельницький</w:t>
            </w:r>
            <w:proofErr w:type="spellEnd"/>
            <w:r w:rsidRPr="006F333C">
              <w:rPr>
                <w:rFonts w:ascii="Times New Roman" w:hAnsi="Times New Roman"/>
                <w:i/>
              </w:rPr>
              <w:t>, 29015</w:t>
            </w:r>
          </w:p>
          <w:p w:rsidR="003F754C" w:rsidRPr="007439B9" w:rsidRDefault="003F754C" w:rsidP="00A753E7">
            <w:pPr>
              <w:pStyle w:val="Standard"/>
              <w:rPr>
                <w:i/>
                <w:color w:val="auto"/>
                <w:sz w:val="22"/>
                <w:szCs w:val="22"/>
                <w:lang w:val="uk-UA"/>
              </w:rPr>
            </w:pPr>
            <w:r w:rsidRPr="006F333C">
              <w:rPr>
                <w:i/>
                <w:sz w:val="22"/>
                <w:szCs w:val="22"/>
                <w:lang w:val="uk-UA"/>
              </w:rPr>
              <w:t>ЄДРПОУ: 22772364</w:t>
            </w:r>
          </w:p>
          <w:p w:rsidR="003F754C" w:rsidRPr="00084F88" w:rsidRDefault="003F754C" w:rsidP="00A753E7">
            <w:pPr>
              <w:pStyle w:val="3"/>
              <w:spacing w:before="0" w:after="0"/>
              <w:rPr>
                <w:rFonts w:ascii="Times New Roman" w:hAnsi="Times New Roman"/>
                <w:bCs w:val="0"/>
                <w:sz w:val="22"/>
                <w:szCs w:val="22"/>
                <w:lang w:val="uk-UA"/>
              </w:rPr>
            </w:pPr>
            <w:r w:rsidRPr="007439B9"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  <w:lang w:val="uk-UA"/>
              </w:rPr>
              <w:t>Категорія</w:t>
            </w:r>
            <w:r w:rsidRPr="007439B9"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</w:rPr>
              <w:t xml:space="preserve"> замовника</w:t>
            </w:r>
            <w:r w:rsidRPr="007439B9">
              <w:rPr>
                <w:rFonts w:ascii="Times New Roman" w:hAnsi="Times New Roman"/>
                <w:b w:val="0"/>
                <w:bCs w:val="0"/>
                <w:i/>
                <w:kern w:val="0"/>
                <w:sz w:val="22"/>
                <w:szCs w:val="22"/>
                <w:lang w:val="uk-UA"/>
              </w:rPr>
              <w:t xml:space="preserve"> - </w:t>
            </w:r>
            <w:r w:rsidRPr="007439B9"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  <w:shd w:val="clear" w:color="auto" w:fill="FFFFFF"/>
                <w:lang w:val="uk-UA"/>
              </w:rPr>
              <w:t>юридична особа, розпорядник</w:t>
            </w:r>
            <w:r w:rsidRPr="00084F88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бюджетних коштів</w:t>
            </w:r>
            <w:r w:rsidR="009262F7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3F754C" w:rsidRPr="00ED2A4F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728" w:type="dxa"/>
          </w:tcPr>
          <w:p w:rsidR="00CC71F1" w:rsidRPr="00CC71F1" w:rsidRDefault="00CC71F1" w:rsidP="00CC71F1">
            <w:pPr>
              <w:tabs>
                <w:tab w:val="left" w:pos="9195"/>
              </w:tabs>
              <w:rPr>
                <w:kern w:val="0"/>
                <w:sz w:val="22"/>
                <w:szCs w:val="22"/>
                <w:lang w:val="uk-UA"/>
              </w:rPr>
            </w:pPr>
            <w:r w:rsidRPr="00CC71F1">
              <w:rPr>
                <w:sz w:val="22"/>
                <w:szCs w:val="22"/>
              </w:rPr>
              <w:t>код ДК 021:2015 – 15220000-6 «</w:t>
            </w:r>
            <w:r w:rsidRPr="00CC71F1">
              <w:rPr>
                <w:sz w:val="22"/>
                <w:szCs w:val="22"/>
                <w:lang w:val="uk-UA"/>
              </w:rPr>
              <w:t xml:space="preserve">Риба, рибне </w:t>
            </w:r>
            <w:proofErr w:type="spellStart"/>
            <w:r w:rsidRPr="00CC71F1">
              <w:rPr>
                <w:sz w:val="22"/>
                <w:szCs w:val="22"/>
                <w:lang w:val="uk-UA"/>
              </w:rPr>
              <w:t>філ</w:t>
            </w:r>
            <w:proofErr w:type="spellEnd"/>
            <w:r w:rsidRPr="00CC71F1">
              <w:rPr>
                <w:sz w:val="22"/>
                <w:szCs w:val="22"/>
              </w:rPr>
              <w:t xml:space="preserve">е та </w:t>
            </w:r>
            <w:proofErr w:type="spellStart"/>
            <w:r w:rsidRPr="00CC71F1">
              <w:rPr>
                <w:sz w:val="22"/>
                <w:szCs w:val="22"/>
              </w:rPr>
              <w:t>інше</w:t>
            </w:r>
            <w:proofErr w:type="spellEnd"/>
            <w:r w:rsidRPr="00CC71F1">
              <w:rPr>
                <w:sz w:val="22"/>
                <w:szCs w:val="22"/>
              </w:rPr>
              <w:t xml:space="preserve"> </w:t>
            </w:r>
            <w:proofErr w:type="spellStart"/>
            <w:r w:rsidRPr="00CC71F1">
              <w:rPr>
                <w:sz w:val="22"/>
                <w:szCs w:val="22"/>
              </w:rPr>
              <w:t>м’ясо</w:t>
            </w:r>
            <w:proofErr w:type="spellEnd"/>
            <w:r w:rsidRPr="00CC71F1">
              <w:rPr>
                <w:sz w:val="22"/>
                <w:szCs w:val="22"/>
              </w:rPr>
              <w:t xml:space="preserve"> </w:t>
            </w:r>
            <w:proofErr w:type="spellStart"/>
            <w:r w:rsidRPr="00CC71F1">
              <w:rPr>
                <w:sz w:val="22"/>
                <w:szCs w:val="22"/>
              </w:rPr>
              <w:t>риби</w:t>
            </w:r>
            <w:proofErr w:type="spellEnd"/>
            <w:r w:rsidRPr="00CC71F1">
              <w:rPr>
                <w:sz w:val="22"/>
                <w:szCs w:val="22"/>
              </w:rPr>
              <w:t xml:space="preserve"> </w:t>
            </w:r>
            <w:proofErr w:type="spellStart"/>
            <w:r w:rsidRPr="00CC71F1">
              <w:rPr>
                <w:sz w:val="22"/>
                <w:szCs w:val="22"/>
              </w:rPr>
              <w:t>морожені</w:t>
            </w:r>
            <w:proofErr w:type="spellEnd"/>
            <w:r w:rsidRPr="00CC71F1">
              <w:rPr>
                <w:sz w:val="22"/>
                <w:szCs w:val="22"/>
              </w:rPr>
              <w:t xml:space="preserve">» </w:t>
            </w:r>
            <w:r w:rsidRPr="00CC71F1">
              <w:rPr>
                <w:sz w:val="22"/>
                <w:szCs w:val="22"/>
                <w:lang w:val="uk-UA"/>
              </w:rPr>
              <w:t>(Риба «Хек» с/морожена (без голови))»</w:t>
            </w:r>
          </w:p>
          <w:p w:rsidR="00CC71F1" w:rsidRPr="00CC71F1" w:rsidRDefault="00CC71F1" w:rsidP="00CC71F1">
            <w:pPr>
              <w:tabs>
                <w:tab w:val="left" w:pos="9195"/>
              </w:tabs>
              <w:ind w:left="180"/>
              <w:rPr>
                <w:i/>
                <w:sz w:val="22"/>
                <w:szCs w:val="22"/>
                <w:lang w:val="uk-UA"/>
              </w:rPr>
            </w:pPr>
          </w:p>
          <w:p w:rsidR="00ED2A4F" w:rsidRPr="00B22476" w:rsidRDefault="00ED2A4F" w:rsidP="00A753E7">
            <w:pPr>
              <w:pStyle w:val="1"/>
              <w:jc w:val="both"/>
              <w:rPr>
                <w:i/>
                <w:lang w:val="uk-UA"/>
              </w:rPr>
            </w:pP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28" w:type="dxa"/>
          </w:tcPr>
          <w:p w:rsidR="003F754C" w:rsidRPr="007439B9" w:rsidRDefault="003F754C" w:rsidP="00A753E7">
            <w:pPr>
              <w:spacing w:line="264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439B9">
              <w:rPr>
                <w:b/>
                <w:i/>
                <w:sz w:val="22"/>
                <w:szCs w:val="22"/>
                <w:lang w:val="uk-UA" w:eastAsia="uk-UA"/>
              </w:rPr>
              <w:t xml:space="preserve">Відповідно до Додатку </w:t>
            </w:r>
            <w:r w:rsidR="00CC71F1">
              <w:rPr>
                <w:b/>
                <w:i/>
                <w:sz w:val="22"/>
                <w:szCs w:val="22"/>
                <w:lang w:val="uk-UA" w:eastAsia="uk-UA"/>
              </w:rPr>
              <w:t>1 до тендерної документації</w:t>
            </w:r>
          </w:p>
          <w:p w:rsidR="003F754C" w:rsidRPr="00084F88" w:rsidRDefault="003F754C" w:rsidP="00A753E7">
            <w:pPr>
              <w:pStyle w:val="Standard"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3F754C" w:rsidRPr="00747E44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28" w:type="dxa"/>
          </w:tcPr>
          <w:p w:rsidR="003F754C" w:rsidRPr="00AC2913" w:rsidRDefault="000171A0" w:rsidP="00A753E7">
            <w:pPr>
              <w:pStyle w:val="1"/>
              <w:rPr>
                <w:rFonts w:ascii="Times New Roman" w:hAnsi="Times New Roman"/>
                <w:b/>
                <w:i/>
                <w:lang w:val="uk-UA"/>
              </w:rPr>
            </w:pPr>
            <w:r w:rsidRPr="000171A0">
              <w:rPr>
                <w:rFonts w:ascii="Times New Roman" w:hAnsi="Times New Roman"/>
                <w:b/>
                <w:i/>
                <w:lang w:val="uk-UA"/>
              </w:rPr>
              <w:t>1100</w:t>
            </w:r>
            <w:r w:rsidR="002B3E09" w:rsidRPr="000171A0">
              <w:rPr>
                <w:rFonts w:ascii="Times New Roman" w:hAnsi="Times New Roman"/>
                <w:b/>
                <w:i/>
                <w:lang w:val="uk-UA"/>
              </w:rPr>
              <w:t xml:space="preserve"> кг</w:t>
            </w:r>
          </w:p>
          <w:p w:rsidR="003F754C" w:rsidRPr="007439B9" w:rsidRDefault="003F754C" w:rsidP="00A753E7">
            <w:pPr>
              <w:pStyle w:val="1"/>
              <w:rPr>
                <w:rFonts w:ascii="Times New Roman" w:hAnsi="Times New Roman"/>
                <w:i/>
                <w:color w:val="auto"/>
                <w:lang w:val="uk-UA"/>
              </w:rPr>
            </w:pPr>
            <w:r w:rsidRPr="00FD5C4F">
              <w:rPr>
                <w:lang w:val="uk-UA"/>
              </w:rPr>
              <w:t xml:space="preserve"> </w:t>
            </w:r>
            <w:r w:rsidRPr="007439B9">
              <w:rPr>
                <w:rFonts w:ascii="Times New Roman" w:hAnsi="Times New Roman"/>
                <w:i/>
                <w:color w:val="auto"/>
                <w:lang w:val="uk-UA"/>
              </w:rPr>
              <w:t>Місце поставки товарів :</w:t>
            </w:r>
          </w:p>
          <w:p w:rsidR="003F754C" w:rsidRPr="00ED7F15" w:rsidRDefault="006F333C" w:rsidP="00ED7F15">
            <w:pPr>
              <w:pStyle w:val="1"/>
              <w:rPr>
                <w:rFonts w:ascii="Times New Roman" w:hAnsi="Times New Roman"/>
                <w:b/>
                <w:i/>
                <w:lang w:val="uk-UA"/>
              </w:rPr>
            </w:pPr>
            <w:r w:rsidRPr="005D7471">
              <w:rPr>
                <w:rFonts w:ascii="Times New Roman" w:hAnsi="Times New Roman"/>
                <w:b/>
                <w:i/>
                <w:lang w:val="uk-UA"/>
              </w:rPr>
              <w:t>Комунальний заклад загальної середньої освіти «Початкова школа № 2 Хмельницької міської ради»</w:t>
            </w:r>
            <w:r w:rsidR="003F754C" w:rsidRPr="005D7471">
              <w:rPr>
                <w:rFonts w:ascii="Times New Roman" w:hAnsi="Times New Roman"/>
                <w:b/>
                <w:i/>
                <w:lang w:val="uk-UA"/>
              </w:rPr>
              <w:t>,</w:t>
            </w:r>
            <w:r w:rsidR="003F754C" w:rsidRPr="00546BFC">
              <w:rPr>
                <w:rFonts w:ascii="Times New Roman" w:hAnsi="Times New Roman"/>
                <w:b/>
                <w:i/>
                <w:lang w:val="uk-UA"/>
              </w:rPr>
              <w:t xml:space="preserve">  вул.</w:t>
            </w:r>
            <w:r w:rsidR="00747E44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bookmarkStart w:id="12" w:name="_GoBack"/>
            <w:bookmarkEnd w:id="12"/>
            <w:proofErr w:type="spellStart"/>
            <w:r w:rsidR="003F754C" w:rsidRPr="00546BFC">
              <w:rPr>
                <w:rFonts w:ascii="Times New Roman" w:hAnsi="Times New Roman"/>
                <w:b/>
                <w:i/>
                <w:lang w:val="uk-UA"/>
              </w:rPr>
              <w:t>Старокостянтинівське</w:t>
            </w:r>
            <w:proofErr w:type="spellEnd"/>
            <w:r w:rsidR="003F754C" w:rsidRPr="00546BFC">
              <w:rPr>
                <w:rFonts w:ascii="Times New Roman" w:hAnsi="Times New Roman"/>
                <w:b/>
                <w:i/>
                <w:lang w:val="uk-UA"/>
              </w:rPr>
              <w:t xml:space="preserve"> шосе, 3Б, </w:t>
            </w:r>
            <w:proofErr w:type="spellStart"/>
            <w:r w:rsidR="003F754C" w:rsidRPr="00546BFC">
              <w:rPr>
                <w:rFonts w:ascii="Times New Roman" w:hAnsi="Times New Roman"/>
                <w:b/>
                <w:i/>
                <w:lang w:val="uk-UA"/>
              </w:rPr>
              <w:t>м.Хмельницький</w:t>
            </w:r>
            <w:proofErr w:type="spellEnd"/>
            <w:r w:rsidR="005D7471">
              <w:rPr>
                <w:rFonts w:ascii="Times New Roman" w:hAnsi="Times New Roman"/>
                <w:b/>
                <w:i/>
                <w:lang w:val="uk-UA"/>
              </w:rPr>
              <w:t>.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28" w:type="dxa"/>
          </w:tcPr>
          <w:p w:rsidR="003F754C" w:rsidRPr="00AC2913" w:rsidRDefault="003F754C" w:rsidP="00A753E7">
            <w:pPr>
              <w:pStyle w:val="Standard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AC2913">
              <w:rPr>
                <w:b/>
                <w:i/>
                <w:sz w:val="22"/>
                <w:szCs w:val="22"/>
                <w:lang w:val="uk-UA"/>
              </w:rPr>
              <w:t>до 31 грудня 202</w:t>
            </w:r>
            <w:r w:rsidR="00BC751D" w:rsidRPr="00AC2913">
              <w:rPr>
                <w:b/>
                <w:i/>
                <w:sz w:val="22"/>
                <w:szCs w:val="22"/>
                <w:lang w:val="uk-UA"/>
              </w:rPr>
              <w:t>2</w:t>
            </w:r>
            <w:r w:rsidRPr="00AC2913">
              <w:rPr>
                <w:b/>
                <w:i/>
                <w:sz w:val="22"/>
                <w:szCs w:val="22"/>
                <w:lang w:val="uk-UA"/>
              </w:rPr>
              <w:t xml:space="preserve"> року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6) умови оплати</w:t>
            </w:r>
          </w:p>
        </w:tc>
        <w:tc>
          <w:tcPr>
            <w:tcW w:w="5728" w:type="dxa"/>
          </w:tcPr>
          <w:p w:rsidR="003F754C" w:rsidRPr="007439B9" w:rsidRDefault="003F754C" w:rsidP="00A753E7">
            <w:pPr>
              <w:pStyle w:val="Standard"/>
              <w:jc w:val="both"/>
              <w:rPr>
                <w:i/>
                <w:color w:val="auto"/>
                <w:sz w:val="22"/>
                <w:szCs w:val="22"/>
                <w:lang w:val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 xml:space="preserve">Розрахунки проводяться шляхом </w:t>
            </w:r>
            <w:proofErr w:type="spellStart"/>
            <w:r w:rsidRPr="007439B9">
              <w:rPr>
                <w:i/>
                <w:sz w:val="22"/>
                <w:szCs w:val="22"/>
              </w:rPr>
              <w:t>перерахування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коштів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на </w:t>
            </w:r>
            <w:proofErr w:type="spellStart"/>
            <w:r w:rsidRPr="007439B9">
              <w:rPr>
                <w:i/>
                <w:sz w:val="22"/>
                <w:szCs w:val="22"/>
              </w:rPr>
              <w:t>розрахунковий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рахунок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Постачальника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після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поставки товару </w:t>
            </w:r>
            <w:proofErr w:type="spellStart"/>
            <w:r w:rsidRPr="007439B9">
              <w:rPr>
                <w:i/>
                <w:sz w:val="22"/>
                <w:szCs w:val="22"/>
              </w:rPr>
              <w:t>Замовнику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протягом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30 </w:t>
            </w:r>
            <w:proofErr w:type="spellStart"/>
            <w:r w:rsidRPr="007439B9">
              <w:rPr>
                <w:i/>
                <w:sz w:val="22"/>
                <w:szCs w:val="22"/>
              </w:rPr>
              <w:t>календарних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днів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439B9">
              <w:rPr>
                <w:i/>
                <w:sz w:val="22"/>
                <w:szCs w:val="22"/>
              </w:rPr>
              <w:t>згідно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наданих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Постачальником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накладних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за </w:t>
            </w:r>
            <w:proofErr w:type="spellStart"/>
            <w:r w:rsidRPr="007439B9">
              <w:rPr>
                <w:i/>
                <w:sz w:val="22"/>
                <w:szCs w:val="22"/>
              </w:rPr>
              <w:t>наявності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439B9">
              <w:rPr>
                <w:i/>
                <w:sz w:val="22"/>
                <w:szCs w:val="22"/>
              </w:rPr>
              <w:t>фінансування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, але не </w:t>
            </w:r>
            <w:proofErr w:type="spellStart"/>
            <w:r w:rsidRPr="007439B9">
              <w:rPr>
                <w:i/>
                <w:sz w:val="22"/>
                <w:szCs w:val="22"/>
              </w:rPr>
              <w:t>пізніше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31 </w:t>
            </w:r>
            <w:proofErr w:type="spellStart"/>
            <w:r w:rsidRPr="007439B9">
              <w:rPr>
                <w:i/>
                <w:sz w:val="22"/>
                <w:szCs w:val="22"/>
              </w:rPr>
              <w:t>грудня</w:t>
            </w:r>
            <w:proofErr w:type="spellEnd"/>
            <w:r w:rsidRPr="007439B9">
              <w:rPr>
                <w:i/>
                <w:sz w:val="22"/>
                <w:szCs w:val="22"/>
              </w:rPr>
              <w:t xml:space="preserve"> 202</w:t>
            </w:r>
            <w:r w:rsidR="00B22476">
              <w:rPr>
                <w:i/>
                <w:sz w:val="22"/>
                <w:szCs w:val="22"/>
                <w:lang w:val="uk-UA"/>
              </w:rPr>
              <w:t>2</w:t>
            </w:r>
            <w:r w:rsidRPr="007439B9">
              <w:rPr>
                <w:i/>
                <w:sz w:val="22"/>
                <w:szCs w:val="22"/>
              </w:rPr>
              <w:t xml:space="preserve"> року</w:t>
            </w: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084F88" w:rsidRDefault="003F754C" w:rsidP="00A753E7">
            <w:pPr>
              <w:pStyle w:val="Standard"/>
              <w:jc w:val="both"/>
              <w:rPr>
                <w:b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Післяоплата</w:t>
            </w:r>
            <w:proofErr w:type="spellEnd"/>
            <w:r w:rsidRPr="007439B9">
              <w:rPr>
                <w:i/>
                <w:color w:val="auto"/>
                <w:sz w:val="22"/>
                <w:szCs w:val="22"/>
                <w:lang w:val="uk-UA"/>
              </w:rPr>
              <w:t xml:space="preserve"> – 100%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7) очікувана вартість предмета закупівлі</w:t>
            </w:r>
          </w:p>
        </w:tc>
        <w:tc>
          <w:tcPr>
            <w:tcW w:w="5728" w:type="dxa"/>
          </w:tcPr>
          <w:p w:rsidR="003F754C" w:rsidRPr="00084F88" w:rsidRDefault="005120CA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137 5</w:t>
            </w:r>
            <w:r w:rsidR="000171A0" w:rsidRPr="000171A0">
              <w:rPr>
                <w:b/>
                <w:sz w:val="22"/>
                <w:szCs w:val="22"/>
                <w:lang w:val="uk-UA"/>
              </w:rPr>
              <w:t>00,00</w:t>
            </w:r>
            <w:r w:rsidR="003F754C" w:rsidRPr="000171A0">
              <w:rPr>
                <w:b/>
                <w:sz w:val="22"/>
                <w:szCs w:val="22"/>
                <w:lang w:val="uk-UA"/>
              </w:rPr>
              <w:t xml:space="preserve"> грн.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8) період уточнення інформації про закупівлю (не менше трьох робочих днів)</w:t>
            </w:r>
          </w:p>
        </w:tc>
        <w:tc>
          <w:tcPr>
            <w:tcW w:w="5728" w:type="dxa"/>
          </w:tcPr>
          <w:p w:rsidR="003F754C" w:rsidRPr="00084F88" w:rsidRDefault="003F754C" w:rsidP="00BC751D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до </w:t>
            </w:r>
            <w:r w:rsidR="00FC3769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«18</w:t>
            </w:r>
            <w:r w:rsidR="00D12A94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» серпня</w:t>
            </w:r>
            <w:r w:rsidR="00BC751D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202</w:t>
            </w:r>
            <w:r w:rsidR="00BC751D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2 </w:t>
            </w:r>
            <w:r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року</w:t>
            </w:r>
            <w:r w:rsidR="00560D44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728" w:type="dxa"/>
          </w:tcPr>
          <w:p w:rsidR="003F754C" w:rsidRPr="00084F88" w:rsidRDefault="00BC751D" w:rsidP="00BC751D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до </w:t>
            </w:r>
            <w:r w:rsidR="00FC3769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«23</w:t>
            </w:r>
            <w:r w:rsidR="00D12A94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» серпня</w:t>
            </w:r>
            <w:r w:rsidR="0059597D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2022 року</w:t>
            </w:r>
            <w:r w:rsidR="00560D44" w:rsidRPr="00747E44">
              <w:rPr>
                <w:b/>
                <w:color w:val="auto"/>
                <w:sz w:val="22"/>
                <w:szCs w:val="22"/>
                <w:lang w:val="uk-UA" w:eastAsia="uk-UA"/>
              </w:rPr>
              <w:t>.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10) перелік критеріїв та методика оцінки пропозицій із зазначенням питомої ваги критеріїв</w:t>
            </w:r>
          </w:p>
        </w:tc>
        <w:tc>
          <w:tcPr>
            <w:tcW w:w="5728" w:type="dxa"/>
          </w:tcPr>
          <w:p w:rsidR="003F754C" w:rsidRPr="007439B9" w:rsidRDefault="003F754C" w:rsidP="00A753E7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 xml:space="preserve">Єдиним критерієм оцінки пропозицій на дану закупівлю є ціна. </w:t>
            </w:r>
          </w:p>
          <w:p w:rsidR="003F754C" w:rsidRPr="007439B9" w:rsidRDefault="003F754C" w:rsidP="00A753E7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>Питома вага критерію оцінки (ціна) – 100%.</w:t>
            </w:r>
          </w:p>
          <w:p w:rsidR="003F754C" w:rsidRPr="00084F88" w:rsidRDefault="003F754C" w:rsidP="00A753E7">
            <w:pPr>
              <w:shd w:val="clear" w:color="auto" w:fill="FFFFFF"/>
              <w:rPr>
                <w:b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sz w:val="22"/>
                <w:szCs w:val="22"/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 ПДВ.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 xml:space="preserve">11) розмір та умови надання забезпечення пропозицій учасників (якщо замовник </w:t>
            </w:r>
            <w:r w:rsidRPr="00084F88">
              <w:rPr>
                <w:sz w:val="22"/>
                <w:szCs w:val="22"/>
                <w:lang w:val="uk-UA"/>
              </w:rPr>
              <w:lastRenderedPageBreak/>
              <w:t>вимагає його надати)</w:t>
            </w:r>
          </w:p>
        </w:tc>
        <w:tc>
          <w:tcPr>
            <w:tcW w:w="5728" w:type="dxa"/>
          </w:tcPr>
          <w:p w:rsidR="003F754C" w:rsidRPr="007439B9" w:rsidRDefault="003F754C" w:rsidP="00A753E7">
            <w:pPr>
              <w:pStyle w:val="Standard"/>
              <w:jc w:val="both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lastRenderedPageBreak/>
              <w:t>Забезпечення пропозицій учасників – не вимагається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lastRenderedPageBreak/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28" w:type="dxa"/>
          </w:tcPr>
          <w:p w:rsidR="003F754C" w:rsidRPr="007439B9" w:rsidRDefault="003F754C" w:rsidP="00A753E7">
            <w:pPr>
              <w:pStyle w:val="Standard"/>
              <w:jc w:val="both"/>
              <w:rPr>
                <w:b/>
                <w:i/>
                <w:color w:val="auto"/>
                <w:sz w:val="22"/>
                <w:szCs w:val="22"/>
                <w:lang w:val="uk-UA" w:eastAsia="uk-UA"/>
              </w:rPr>
            </w:pPr>
            <w:r w:rsidRPr="007439B9">
              <w:rPr>
                <w:i/>
                <w:color w:val="auto"/>
                <w:sz w:val="22"/>
                <w:szCs w:val="22"/>
                <w:lang w:val="uk-UA"/>
              </w:rPr>
              <w:t>Забезпечення пропозицій учасників – не вимагається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  <w:lang w:val="uk-UA" w:eastAsia="uk-UA"/>
              </w:rPr>
            </w:pPr>
            <w:r w:rsidRPr="00084F88">
              <w:rPr>
                <w:sz w:val="22"/>
                <w:szCs w:val="22"/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5728" w:type="dxa"/>
          </w:tcPr>
          <w:p w:rsidR="003F754C" w:rsidRPr="00084F88" w:rsidRDefault="005120CA" w:rsidP="00BC751D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 w:rsidRPr="005120CA"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  <w:t xml:space="preserve">0,5% - </w:t>
            </w:r>
            <w:r w:rsidR="003F754C" w:rsidRPr="005120CA"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  <w:t xml:space="preserve"> </w:t>
            </w:r>
            <w:r w:rsidR="00FC3769"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  <w:t>687,50</w:t>
            </w:r>
            <w:r w:rsidR="003215CC"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  <w:t xml:space="preserve"> </w:t>
            </w:r>
            <w:r w:rsidR="003F754C" w:rsidRPr="005120CA">
              <w:rPr>
                <w:b/>
                <w:color w:val="auto"/>
                <w:sz w:val="22"/>
                <w:szCs w:val="22"/>
                <w:highlight w:val="yellow"/>
                <w:lang w:val="uk-UA" w:eastAsia="uk-UA"/>
              </w:rPr>
              <w:t>грн.</w:t>
            </w:r>
          </w:p>
        </w:tc>
      </w:tr>
      <w:tr w:rsidR="003F754C" w:rsidRPr="006C0193" w:rsidTr="00A753E7">
        <w:tc>
          <w:tcPr>
            <w:tcW w:w="10372" w:type="dxa"/>
            <w:gridSpan w:val="2"/>
          </w:tcPr>
          <w:p w:rsidR="003F754C" w:rsidRPr="00084F88" w:rsidRDefault="0069276C" w:rsidP="00A753E7">
            <w:pPr>
              <w:pStyle w:val="Standard"/>
              <w:rPr>
                <w:b/>
                <w:color w:val="auto"/>
                <w:sz w:val="22"/>
                <w:szCs w:val="22"/>
                <w:lang w:val="uk-UA" w:eastAsia="uk-UA"/>
              </w:rPr>
            </w:pPr>
            <w:r>
              <w:rPr>
                <w:rStyle w:val="rvts0"/>
                <w:color w:val="auto"/>
                <w:sz w:val="22"/>
                <w:szCs w:val="22"/>
                <w:lang w:val="uk-UA"/>
              </w:rPr>
              <w:t>14) Інші вимоги</w:t>
            </w:r>
            <w:r w:rsidR="003F754C"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rStyle w:val="rvts0"/>
                <w:color w:val="auto"/>
                <w:sz w:val="22"/>
                <w:szCs w:val="22"/>
                <w:lang w:val="uk-UA"/>
              </w:rPr>
              <w:t>(</w:t>
            </w:r>
            <w:r w:rsidR="003F754C"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>інформація</w:t>
            </w:r>
            <w:r>
              <w:rPr>
                <w:rStyle w:val="rvts0"/>
                <w:color w:val="auto"/>
                <w:sz w:val="22"/>
                <w:szCs w:val="22"/>
                <w:lang w:val="uk-UA"/>
              </w:rPr>
              <w:t>)</w:t>
            </w:r>
            <w:r w:rsidR="003F754C" w:rsidRPr="00084F88">
              <w:rPr>
                <w:rStyle w:val="rvts0"/>
                <w:color w:val="auto"/>
                <w:sz w:val="22"/>
                <w:szCs w:val="22"/>
                <w:lang w:val="uk-UA"/>
              </w:rPr>
              <w:t>:</w:t>
            </w:r>
          </w:p>
        </w:tc>
      </w:tr>
      <w:tr w:rsidR="003F754C" w:rsidRPr="006C0193" w:rsidTr="00A753E7">
        <w:tc>
          <w:tcPr>
            <w:tcW w:w="4644" w:type="dxa"/>
          </w:tcPr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а) Додатки до оголошення про проведення спрощеної закупівлі, що є невід’ємною частиною оголошення:</w:t>
            </w:r>
          </w:p>
        </w:tc>
        <w:tc>
          <w:tcPr>
            <w:tcW w:w="5728" w:type="dxa"/>
          </w:tcPr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1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– Технічні, 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якісні 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та кількісні </w:t>
            </w:r>
            <w:r w:rsidR="00967CB2">
              <w:rPr>
                <w:b/>
                <w:i/>
                <w:color w:val="auto"/>
                <w:sz w:val="22"/>
                <w:szCs w:val="22"/>
                <w:lang w:val="uk-UA"/>
              </w:rPr>
              <w:t>характеристики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предмету</w:t>
            </w:r>
            <w:r w:rsidR="00967CB2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закупівлі</w:t>
            </w:r>
            <w:r w:rsid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2 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– 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Цінова пропозиція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AC2913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i/>
                <w:color w:val="auto"/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3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155E41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– </w:t>
            </w:r>
            <w:proofErr w:type="spellStart"/>
            <w:r w:rsidR="00155E41">
              <w:rPr>
                <w:b/>
                <w:i/>
                <w:color w:val="auto"/>
                <w:sz w:val="22"/>
                <w:szCs w:val="22"/>
                <w:lang w:val="uk-UA"/>
              </w:rPr>
              <w:t>Проє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кт</w:t>
            </w:r>
            <w:proofErr w:type="spellEnd"/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договору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3F754C" w:rsidRPr="00084F88" w:rsidRDefault="003F754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sz w:val="22"/>
                <w:szCs w:val="22"/>
                <w:lang w:val="uk-UA"/>
              </w:rPr>
            </w:pP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Додаток №</w:t>
            </w:r>
            <w:r w:rsidR="00AC2913"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>4</w:t>
            </w:r>
            <w:r w:rsidRPr="00AC2913">
              <w:rPr>
                <w:b/>
                <w:i/>
                <w:color w:val="auto"/>
                <w:sz w:val="22"/>
                <w:szCs w:val="22"/>
                <w:lang w:val="uk-UA"/>
              </w:rPr>
              <w:t xml:space="preserve"> – </w:t>
            </w:r>
            <w:r w:rsidRPr="00AC2913">
              <w:rPr>
                <w:b/>
                <w:i/>
                <w:sz w:val="22"/>
                <w:szCs w:val="22"/>
                <w:lang w:val="uk-UA"/>
              </w:rPr>
              <w:t>Лист-згода.</w:t>
            </w:r>
          </w:p>
        </w:tc>
      </w:tr>
      <w:tr w:rsidR="003F754C" w:rsidRPr="006C0193" w:rsidTr="00A753E7">
        <w:tc>
          <w:tcPr>
            <w:tcW w:w="10372" w:type="dxa"/>
            <w:gridSpan w:val="2"/>
          </w:tcPr>
          <w:p w:rsidR="003F754C" w:rsidRPr="00084F88" w:rsidRDefault="003F754C" w:rsidP="00A753E7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б) Перелік документів, які має надати учасник закупівлі </w:t>
            </w:r>
            <w:r w:rsidRPr="00084F88">
              <w:rPr>
                <w:b/>
                <w:bCs/>
                <w:color w:val="auto"/>
                <w:kern w:val="0"/>
                <w:sz w:val="22"/>
                <w:szCs w:val="22"/>
                <w:lang w:val="uk-UA"/>
              </w:rPr>
              <w:t>в електронному (сканованому) вигляді в складі своєї пропозиції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:</w:t>
            </w:r>
          </w:p>
          <w:p w:rsidR="00A12381" w:rsidRDefault="003F754C" w:rsidP="00A12381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rStyle w:val="a4"/>
                <w:sz w:val="22"/>
                <w:szCs w:val="22"/>
                <w:shd w:val="clear" w:color="auto" w:fill="FFFFFF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–  копія свідоцтва про державну</w:t>
            </w:r>
            <w:r w:rsidR="00E014C6">
              <w:rPr>
                <w:sz w:val="22"/>
                <w:szCs w:val="22"/>
                <w:lang w:val="uk-UA"/>
              </w:rPr>
              <w:t xml:space="preserve"> реєстрацію або копію</w:t>
            </w:r>
            <w:r w:rsidRPr="00084F88">
              <w:rPr>
                <w:sz w:val="22"/>
                <w:szCs w:val="22"/>
                <w:lang w:val="uk-UA"/>
              </w:rPr>
              <w:t xml:space="preserve"> виписки з Єдиного державного реєстру юридичних ос</w:t>
            </w:r>
            <w:r w:rsidR="00E014C6">
              <w:rPr>
                <w:sz w:val="22"/>
                <w:szCs w:val="22"/>
                <w:lang w:val="uk-UA"/>
              </w:rPr>
              <w:t xml:space="preserve">іб та фізичних осіб-підприємців, </w:t>
            </w:r>
            <w:r w:rsidR="00A12381">
              <w:rPr>
                <w:color w:val="auto"/>
                <w:sz w:val="22"/>
                <w:szCs w:val="22"/>
                <w:lang w:val="uk-UA"/>
              </w:rPr>
              <w:t xml:space="preserve">з </w:t>
            </w:r>
            <w:r w:rsidR="00A12381" w:rsidRPr="006061D1">
              <w:rPr>
                <w:rStyle w:val="a4"/>
                <w:sz w:val="22"/>
                <w:szCs w:val="22"/>
                <w:shd w:val="clear" w:color="auto" w:fill="FFFFFF"/>
                <w:lang w:val="uk-UA"/>
              </w:rPr>
              <w:t xml:space="preserve">інформацією </w:t>
            </w:r>
            <w:r w:rsidR="00A12381">
              <w:rPr>
                <w:rStyle w:val="a4"/>
                <w:sz w:val="22"/>
                <w:szCs w:val="22"/>
                <w:shd w:val="clear" w:color="auto" w:fill="FFFFFF"/>
                <w:lang w:val="uk-UA"/>
              </w:rPr>
              <w:t>актуальною на дату подання пропозиції;</w:t>
            </w:r>
          </w:p>
          <w:p w:rsidR="003F754C" w:rsidRPr="00084F88" w:rsidRDefault="00A12381" w:rsidP="00A753E7">
            <w:pPr>
              <w:pStyle w:val="Standard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>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3F754C" w:rsidRPr="00084F88" w:rsidRDefault="00B22476" w:rsidP="00A753E7">
            <w:pPr>
              <w:widowControl/>
              <w:suppressAutoHyphens w:val="0"/>
              <w:autoSpaceDN/>
              <w:textAlignment w:val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–  </w:t>
            </w:r>
            <w:r w:rsidR="00A12381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контактні дан</w:t>
            </w:r>
            <w:r w:rsidR="003F754C" w:rsidRPr="00084F88">
              <w:rPr>
                <w:sz w:val="22"/>
                <w:szCs w:val="22"/>
                <w:lang w:val="uk-UA"/>
              </w:rPr>
              <w:t xml:space="preserve">і компанії-учасника (з зазначенням реквізитів учасника: назви, коду ЄДРПОУ, місцезнаходження, юридичної, поштової адреси, телефону, електронної адреси; </w:t>
            </w:r>
            <w:r w:rsidR="00B31964" w:rsidRPr="00B31964">
              <w:rPr>
                <w:sz w:val="22"/>
                <w:szCs w:val="22"/>
                <w:lang w:val="uk-UA"/>
              </w:rPr>
              <w:t>тип суб’єкта господарювання</w:t>
            </w:r>
            <w:r w:rsidR="00B31964">
              <w:rPr>
                <w:sz w:val="22"/>
                <w:szCs w:val="22"/>
                <w:lang w:val="uk-UA"/>
              </w:rPr>
              <w:t xml:space="preserve">, </w:t>
            </w:r>
            <w:r w:rsidR="003F754C" w:rsidRPr="00084F88">
              <w:rPr>
                <w:sz w:val="22"/>
                <w:szCs w:val="22"/>
                <w:lang w:val="uk-UA"/>
              </w:rPr>
              <w:t xml:space="preserve">відомостей про контактну особу (прізвище, ім’я, по-батькові, посада, контактний </w:t>
            </w:r>
            <w:r w:rsidR="00A12381">
              <w:rPr>
                <w:sz w:val="22"/>
                <w:szCs w:val="22"/>
                <w:lang w:val="uk-UA"/>
              </w:rPr>
              <w:t>телефон);</w:t>
            </w:r>
          </w:p>
          <w:p w:rsidR="003F754C" w:rsidRPr="00AC2913" w:rsidRDefault="00A12381" w:rsidP="00A753E7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з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="003F754C" w:rsidRPr="00084F88">
              <w:rPr>
                <w:b/>
                <w:color w:val="auto"/>
                <w:sz w:val="22"/>
                <w:szCs w:val="22"/>
                <w:lang w:val="uk-UA"/>
              </w:rPr>
              <w:t>Додаток №1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 – </w:t>
            </w:r>
            <w:r w:rsidR="00AC2913">
              <w:rPr>
                <w:b/>
                <w:color w:val="auto"/>
                <w:sz w:val="22"/>
                <w:szCs w:val="22"/>
                <w:lang w:val="uk-UA"/>
              </w:rPr>
              <w:t xml:space="preserve">Технічні, </w:t>
            </w:r>
            <w:r w:rsidR="003F754C" w:rsidRPr="00AC2913">
              <w:rPr>
                <w:b/>
                <w:color w:val="auto"/>
                <w:sz w:val="22"/>
                <w:szCs w:val="22"/>
                <w:lang w:val="uk-UA"/>
              </w:rPr>
              <w:t>які</w:t>
            </w:r>
            <w:r w:rsidR="00AC2913">
              <w:rPr>
                <w:b/>
                <w:color w:val="auto"/>
                <w:sz w:val="22"/>
                <w:szCs w:val="22"/>
                <w:lang w:val="uk-UA"/>
              </w:rPr>
              <w:t xml:space="preserve">сні та кількісні </w:t>
            </w:r>
            <w:r w:rsidR="00967CB2">
              <w:rPr>
                <w:b/>
                <w:color w:val="auto"/>
                <w:sz w:val="22"/>
                <w:szCs w:val="22"/>
                <w:lang w:val="uk-UA"/>
              </w:rPr>
              <w:t>характеристики</w:t>
            </w:r>
            <w:r w:rsidR="003F754C" w:rsidRPr="00AC2913">
              <w:rPr>
                <w:b/>
                <w:color w:val="auto"/>
                <w:sz w:val="22"/>
                <w:szCs w:val="22"/>
                <w:lang w:val="uk-UA"/>
              </w:rPr>
              <w:t xml:space="preserve"> предмету закупівлі;</w:t>
            </w:r>
          </w:p>
          <w:p w:rsidR="003F754C" w:rsidRPr="00084F88" w:rsidRDefault="00A12381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="003F754C" w:rsidRPr="00084F88">
              <w:rPr>
                <w:b/>
                <w:color w:val="auto"/>
                <w:sz w:val="22"/>
                <w:szCs w:val="22"/>
                <w:lang w:val="uk-UA"/>
              </w:rPr>
              <w:t xml:space="preserve">Додаток №2 </w:t>
            </w:r>
            <w:r w:rsidR="00AC2913">
              <w:rPr>
                <w:color w:val="auto"/>
                <w:sz w:val="22"/>
                <w:szCs w:val="22"/>
                <w:lang w:val="uk-UA"/>
              </w:rPr>
              <w:t xml:space="preserve">– </w:t>
            </w:r>
            <w:r w:rsidR="00AC2913" w:rsidRPr="00AC2913">
              <w:rPr>
                <w:b/>
                <w:color w:val="auto"/>
                <w:sz w:val="22"/>
                <w:szCs w:val="22"/>
                <w:lang w:val="uk-UA"/>
              </w:rPr>
              <w:t>Цінова пропозиція</w:t>
            </w:r>
            <w:r w:rsidR="003F754C" w:rsidRPr="00AC2913">
              <w:rPr>
                <w:b/>
                <w:color w:val="auto"/>
                <w:sz w:val="22"/>
                <w:szCs w:val="22"/>
                <w:lang w:val="uk-UA"/>
              </w:rPr>
              <w:t>;</w:t>
            </w:r>
          </w:p>
          <w:p w:rsidR="003F754C" w:rsidRPr="00AC2913" w:rsidRDefault="00A12381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="003F754C" w:rsidRPr="00084F88">
              <w:rPr>
                <w:b/>
                <w:color w:val="auto"/>
                <w:sz w:val="22"/>
                <w:szCs w:val="22"/>
                <w:lang w:val="uk-UA"/>
              </w:rPr>
              <w:t xml:space="preserve">Додаток №3 </w:t>
            </w:r>
            <w:r w:rsidR="00AC2913">
              <w:rPr>
                <w:color w:val="auto"/>
                <w:sz w:val="22"/>
                <w:szCs w:val="22"/>
                <w:lang w:val="uk-UA"/>
              </w:rPr>
              <w:t xml:space="preserve">– </w:t>
            </w:r>
            <w:proofErr w:type="spellStart"/>
            <w:r w:rsidR="00AC2913" w:rsidRPr="00AC2913">
              <w:rPr>
                <w:b/>
                <w:color w:val="auto"/>
                <w:sz w:val="22"/>
                <w:szCs w:val="22"/>
                <w:lang w:val="uk-UA"/>
              </w:rPr>
              <w:t>Проєкт</w:t>
            </w:r>
            <w:proofErr w:type="spellEnd"/>
            <w:r w:rsidR="00AC2913" w:rsidRPr="00AC2913">
              <w:rPr>
                <w:b/>
                <w:color w:val="auto"/>
                <w:sz w:val="22"/>
                <w:szCs w:val="22"/>
                <w:lang w:val="uk-UA"/>
              </w:rPr>
              <w:t xml:space="preserve"> договору</w:t>
            </w:r>
            <w:r w:rsidR="003F754C" w:rsidRPr="00AC2913">
              <w:rPr>
                <w:b/>
                <w:color w:val="auto"/>
                <w:sz w:val="22"/>
                <w:szCs w:val="22"/>
                <w:lang w:val="uk-UA"/>
              </w:rPr>
              <w:t>;</w:t>
            </w:r>
          </w:p>
          <w:p w:rsidR="0069276C" w:rsidRDefault="00A12381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   з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аповнений та сканований – </w:t>
            </w:r>
            <w:r w:rsidR="003F754C" w:rsidRPr="00084F88">
              <w:rPr>
                <w:b/>
                <w:color w:val="auto"/>
                <w:sz w:val="22"/>
                <w:szCs w:val="22"/>
                <w:lang w:val="uk-UA"/>
              </w:rPr>
              <w:t>Додаток №4</w:t>
            </w:r>
            <w:r w:rsidR="003F754C" w:rsidRPr="00084F88">
              <w:rPr>
                <w:color w:val="auto"/>
                <w:sz w:val="22"/>
                <w:szCs w:val="22"/>
                <w:lang w:val="uk-UA"/>
              </w:rPr>
              <w:t xml:space="preserve"> – </w:t>
            </w:r>
            <w:r w:rsidR="003F754C" w:rsidRPr="00AC2913">
              <w:rPr>
                <w:b/>
                <w:sz w:val="22"/>
                <w:szCs w:val="22"/>
                <w:lang w:val="uk-UA"/>
              </w:rPr>
              <w:t>Лист-згода</w:t>
            </w:r>
            <w:r w:rsidR="003F754C" w:rsidRPr="00AC2913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  <w:p w:rsidR="003215CC" w:rsidRDefault="003215CC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3215CC" w:rsidRPr="00084F88" w:rsidRDefault="003215CC" w:rsidP="003215CC">
            <w:pPr>
              <w:pStyle w:val="Standard"/>
              <w:shd w:val="clear" w:color="auto" w:fill="FFFFFF"/>
              <w:tabs>
                <w:tab w:val="left" w:pos="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b/>
                <w:color w:val="auto"/>
                <w:sz w:val="22"/>
                <w:szCs w:val="22"/>
                <w:lang w:val="uk-UA"/>
              </w:rPr>
              <w:t>Примітки: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пояснення з зазначенням підстави не надання документа з посиланням на законодавчі акти.</w:t>
            </w:r>
          </w:p>
          <w:p w:rsidR="003215CC" w:rsidRPr="003215CC" w:rsidRDefault="003215CC" w:rsidP="003215CC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Документи повинні бути надані в електронному вигляді (скановані) та містити розбірливі зображення. </w:t>
            </w:r>
          </w:p>
          <w:p w:rsidR="00A12381" w:rsidRDefault="00A12381" w:rsidP="00A753E7">
            <w:pPr>
              <w:pStyle w:val="Standard"/>
              <w:shd w:val="clear" w:color="auto" w:fill="FFFFFF"/>
              <w:tabs>
                <w:tab w:val="left" w:pos="360"/>
              </w:tabs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</w:p>
          <w:p w:rsidR="00493B94" w:rsidRPr="0069276C" w:rsidRDefault="00493B94" w:rsidP="00493B94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14.1. Під час використання електронної системи 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 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закупівель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 із накладанням удосконаленого електронного підпису або кваліфікованого електронного підпису.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учасника. У разі подання у складі пропозиції електрон</w:t>
            </w:r>
            <w:r w:rsidR="000171A0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н</w:t>
            </w:r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ого(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их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) документа(</w:t>
            </w:r>
            <w:proofErr w:type="spellStart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ів</w:t>
            </w:r>
            <w:proofErr w:type="spellEnd"/>
            <w:r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) учасник має накласти удосконалений електронний підпис або кваліфікований електронний підпис особи уповноваженої на підписання пропозиції учасника на кожен електронний документ.</w:t>
            </w:r>
          </w:p>
          <w:p w:rsidR="00493B94" w:rsidRPr="0069276C" w:rsidRDefault="00493B94" w:rsidP="00493B94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</w:p>
          <w:p w:rsidR="00BB5069" w:rsidRDefault="007958B0" w:rsidP="00A12381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14.2. </w:t>
            </w:r>
            <w:r w:rsidR="00BB5069" w:rsidRPr="00084F88">
              <w:rPr>
                <w:sz w:val="22"/>
                <w:szCs w:val="22"/>
                <w:lang w:val="uk-UA"/>
              </w:rPr>
              <w:t xml:space="preserve">Замовник може відхилити пропозицію </w:t>
            </w:r>
            <w:r w:rsidR="00EB6D5E">
              <w:rPr>
                <w:sz w:val="22"/>
                <w:szCs w:val="22"/>
                <w:lang w:val="uk-UA"/>
              </w:rPr>
              <w:t xml:space="preserve">учасника </w:t>
            </w:r>
            <w:r w:rsidR="00A12381">
              <w:rPr>
                <w:sz w:val="22"/>
                <w:szCs w:val="22"/>
                <w:lang w:val="uk-UA"/>
              </w:rPr>
              <w:t xml:space="preserve">у </w:t>
            </w:r>
            <w:r w:rsidR="003215CC">
              <w:rPr>
                <w:color w:val="auto"/>
                <w:sz w:val="22"/>
                <w:szCs w:val="22"/>
                <w:lang w:val="uk-UA"/>
              </w:rPr>
              <w:t xml:space="preserve">відповідності до умов </w:t>
            </w:r>
            <w:r w:rsidR="00A12381">
              <w:rPr>
                <w:color w:val="auto"/>
                <w:sz w:val="22"/>
                <w:szCs w:val="22"/>
                <w:lang w:val="uk-UA"/>
              </w:rPr>
              <w:t xml:space="preserve">ст. 14 </w:t>
            </w:r>
            <w:r w:rsidR="00A12381" w:rsidRPr="00E34021">
              <w:rPr>
                <w:color w:val="auto"/>
                <w:sz w:val="22"/>
                <w:szCs w:val="22"/>
                <w:lang w:val="uk-UA"/>
              </w:rPr>
              <w:t xml:space="preserve">Закону України «Про публічні закупівлі». </w:t>
            </w:r>
          </w:p>
          <w:p w:rsidR="00A12381" w:rsidRPr="00A12381" w:rsidRDefault="00A12381" w:rsidP="00A12381">
            <w:pPr>
              <w:pStyle w:val="Standard"/>
              <w:shd w:val="clear" w:color="auto" w:fill="FFFFFF"/>
              <w:tabs>
                <w:tab w:val="left" w:pos="720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493B94" w:rsidRPr="0069276C" w:rsidRDefault="003215CC" w:rsidP="00493B94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>14.3</w:t>
            </w:r>
            <w:r w:rsidR="00493B94"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. Учасник у складі пропозиції має надати документи, які підтверджують повноваження особи на підписання пропозиції, якщо підписантом пропозиціє є не керівник учасника. </w:t>
            </w:r>
          </w:p>
          <w:p w:rsidR="00FC3769" w:rsidRDefault="00FC3769" w:rsidP="00493B94">
            <w:pPr>
              <w:pStyle w:val="Standard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uk-UA" w:eastAsia="en-US"/>
              </w:rPr>
            </w:pPr>
          </w:p>
          <w:p w:rsidR="00493B94" w:rsidRDefault="003215CC" w:rsidP="00493B94">
            <w:pPr>
              <w:pStyle w:val="Standard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lastRenderedPageBreak/>
              <w:t>14.4</w:t>
            </w:r>
            <w:r w:rsidR="00493B94" w:rsidRPr="0069276C">
              <w:rPr>
                <w:rFonts w:eastAsia="Calibri"/>
                <w:kern w:val="0"/>
                <w:sz w:val="22"/>
                <w:szCs w:val="22"/>
                <w:lang w:val="uk-UA" w:eastAsia="en-US"/>
              </w:rPr>
              <w:t xml:space="preserve">. Учасник, якого визначено переможцем спрощеної закупівлі може надати перерахунок ціни за результатами електронного аукціону в бік зменшення ціни пропозиції учасника без зменшення обсягів закупівлі </w:t>
            </w:r>
            <w:r w:rsidR="00493B94" w:rsidRPr="0069276C">
              <w:rPr>
                <w:sz w:val="22"/>
                <w:szCs w:val="22"/>
                <w:lang w:val="uk-UA"/>
              </w:rPr>
              <w:t>відповідно до частини 4 статті 41 Закону виключно у разі, якщо було проведено аукціон, тобто якщо участь у спрощеній закупівлі прийняло два або більше учасника.</w:t>
            </w:r>
          </w:p>
          <w:p w:rsidR="00BB5069" w:rsidRPr="0069276C" w:rsidRDefault="00BB5069" w:rsidP="00493B94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val="uk-UA" w:eastAsia="en-US"/>
              </w:rPr>
            </w:pPr>
          </w:p>
          <w:p w:rsidR="003F754C" w:rsidRPr="00084F88" w:rsidRDefault="003F754C" w:rsidP="00A753E7">
            <w:pPr>
              <w:rPr>
                <w:b/>
                <w:sz w:val="22"/>
                <w:szCs w:val="22"/>
                <w:lang w:val="uk-UA"/>
              </w:rPr>
            </w:pPr>
            <w:r w:rsidRPr="00084F88">
              <w:rPr>
                <w:b/>
                <w:sz w:val="22"/>
                <w:szCs w:val="22"/>
                <w:lang w:val="uk-UA"/>
              </w:rPr>
              <w:t>Додаткова інформація:</w:t>
            </w:r>
          </w:p>
          <w:p w:rsidR="003F754C" w:rsidRPr="00084F88" w:rsidRDefault="003F754C" w:rsidP="00A753E7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084F88">
              <w:rPr>
                <w:color w:val="auto"/>
                <w:sz w:val="22"/>
                <w:szCs w:val="22"/>
                <w:lang w:val="uk-UA"/>
              </w:rPr>
              <w:t xml:space="preserve">Для підтвердження якісних характеристик товару під час укладання договору/поставки товару переможець 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084F88">
              <w:rPr>
                <w:color w:val="auto"/>
                <w:sz w:val="22"/>
                <w:szCs w:val="22"/>
                <w:lang w:val="uk-UA"/>
              </w:rPr>
              <w:t>постачальник повинен надати копію сертифікату відповідності або якості на товар, що закуповується.</w:t>
            </w:r>
          </w:p>
          <w:p w:rsidR="003F754C" w:rsidRDefault="003F754C" w:rsidP="00A753E7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3215CC" w:rsidRPr="00084F88" w:rsidRDefault="003215CC" w:rsidP="00A753E7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3F754C" w:rsidRPr="00084F88" w:rsidRDefault="003F754C" w:rsidP="00A753E7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084F88">
              <w:rPr>
                <w:b/>
                <w:sz w:val="22"/>
                <w:szCs w:val="22"/>
                <w:u w:val="single"/>
                <w:lang w:val="uk-UA"/>
              </w:rPr>
              <w:t>Для укладення договору про закупівлю переможець надає:</w:t>
            </w:r>
          </w:p>
          <w:p w:rsidR="003F754C" w:rsidRPr="00084F88" w:rsidRDefault="003F754C" w:rsidP="00A753E7">
            <w:pPr>
              <w:rPr>
                <w:b/>
                <w:sz w:val="22"/>
                <w:szCs w:val="22"/>
                <w:lang w:val="uk-UA"/>
              </w:rPr>
            </w:pPr>
            <w:r w:rsidRPr="00084F88">
              <w:rPr>
                <w:sz w:val="22"/>
                <w:szCs w:val="22"/>
                <w:lang w:val="uk-UA"/>
              </w:rPr>
              <w:t>1. відповідну інформацію про право підписання договору про закупівлю</w:t>
            </w:r>
            <w:r w:rsidRPr="00084F8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F754C" w:rsidRPr="00084F88" w:rsidRDefault="003F754C" w:rsidP="00A753E7">
            <w:pPr>
              <w:pStyle w:val="rvps2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084F88">
              <w:rPr>
                <w:rFonts w:eastAsia="Calibri"/>
                <w:sz w:val="22"/>
                <w:szCs w:val="22"/>
                <w:lang w:val="uk-UA"/>
              </w:rPr>
              <w:t xml:space="preserve">2. </w:t>
            </w:r>
            <w:r w:rsidRPr="00084F88">
              <w:rPr>
                <w:sz w:val="22"/>
                <w:szCs w:val="22"/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3F754C" w:rsidRDefault="003F754C" w:rsidP="003F754C">
      <w:pPr>
        <w:pStyle w:val="Standard"/>
        <w:jc w:val="right"/>
        <w:rPr>
          <w:b/>
          <w:color w:val="auto"/>
          <w:lang w:val="uk-UA"/>
        </w:rPr>
      </w:pPr>
    </w:p>
    <w:p w:rsidR="003F754C" w:rsidRDefault="003F754C" w:rsidP="003F754C">
      <w:pPr>
        <w:pStyle w:val="Standard"/>
        <w:jc w:val="right"/>
        <w:rPr>
          <w:b/>
          <w:color w:val="auto"/>
          <w:lang w:val="uk-UA"/>
        </w:rPr>
      </w:pPr>
      <w:r w:rsidRPr="00210D9B">
        <w:rPr>
          <w:b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54C" w:rsidRPr="0081461F" w:rsidRDefault="003F754C" w:rsidP="003F754C">
      <w:pPr>
        <w:rPr>
          <w:lang w:val="uk-UA"/>
        </w:rPr>
      </w:pPr>
    </w:p>
    <w:p w:rsidR="003F754C" w:rsidRPr="00EA4021" w:rsidRDefault="003F754C" w:rsidP="003F754C">
      <w:pPr>
        <w:rPr>
          <w:lang w:val="uk-UA"/>
        </w:rPr>
      </w:pPr>
    </w:p>
    <w:p w:rsidR="003F754C" w:rsidRPr="00F726B3" w:rsidRDefault="003F754C" w:rsidP="003F754C">
      <w:pPr>
        <w:rPr>
          <w:lang w:val="uk-UA"/>
        </w:rPr>
      </w:pPr>
    </w:p>
    <w:p w:rsidR="00D50E33" w:rsidRPr="003F754C" w:rsidRDefault="00D50E33">
      <w:pPr>
        <w:rPr>
          <w:lang w:val="uk-UA"/>
        </w:rPr>
      </w:pPr>
    </w:p>
    <w:sectPr w:rsidR="00D50E33" w:rsidRPr="003F754C" w:rsidSect="00D5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12"/>
    <w:multiLevelType w:val="hybridMultilevel"/>
    <w:tmpl w:val="B8262508"/>
    <w:lvl w:ilvl="0" w:tplc="DA2075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4644F"/>
    <w:multiLevelType w:val="hybridMultilevel"/>
    <w:tmpl w:val="11E61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54C"/>
    <w:rsid w:val="000171A0"/>
    <w:rsid w:val="000610CB"/>
    <w:rsid w:val="000F7573"/>
    <w:rsid w:val="00155E41"/>
    <w:rsid w:val="001F658B"/>
    <w:rsid w:val="002B3E09"/>
    <w:rsid w:val="003215CC"/>
    <w:rsid w:val="003D63EA"/>
    <w:rsid w:val="003F754C"/>
    <w:rsid w:val="0048208E"/>
    <w:rsid w:val="00482D0A"/>
    <w:rsid w:val="00493B94"/>
    <w:rsid w:val="004A5474"/>
    <w:rsid w:val="005120CA"/>
    <w:rsid w:val="00546BFC"/>
    <w:rsid w:val="00560D44"/>
    <w:rsid w:val="0059597D"/>
    <w:rsid w:val="005D7471"/>
    <w:rsid w:val="0069276C"/>
    <w:rsid w:val="006C0DA1"/>
    <w:rsid w:val="006F333C"/>
    <w:rsid w:val="00737305"/>
    <w:rsid w:val="00747E44"/>
    <w:rsid w:val="007958B0"/>
    <w:rsid w:val="009262F7"/>
    <w:rsid w:val="00967CB2"/>
    <w:rsid w:val="00A12381"/>
    <w:rsid w:val="00AC2913"/>
    <w:rsid w:val="00B22476"/>
    <w:rsid w:val="00B31964"/>
    <w:rsid w:val="00BB5069"/>
    <w:rsid w:val="00BC751D"/>
    <w:rsid w:val="00CC71F1"/>
    <w:rsid w:val="00D12A94"/>
    <w:rsid w:val="00D50E33"/>
    <w:rsid w:val="00D805FA"/>
    <w:rsid w:val="00E014C6"/>
    <w:rsid w:val="00E0583D"/>
    <w:rsid w:val="00E512FA"/>
    <w:rsid w:val="00EA6A2D"/>
    <w:rsid w:val="00EB18E5"/>
    <w:rsid w:val="00EB6D5E"/>
    <w:rsid w:val="00ED2A4F"/>
    <w:rsid w:val="00ED7F15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8A00"/>
  <w15:docId w15:val="{EEC22DD7-D2BE-4334-8F9F-94F4C41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754C"/>
    <w:pPr>
      <w:widowControl w:val="0"/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75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54C"/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paragraph" w:customStyle="1" w:styleId="Standard">
    <w:name w:val="Standard"/>
    <w:rsid w:val="003F754C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rvps2">
    <w:name w:val="rvps2"/>
    <w:basedOn w:val="a"/>
    <w:rsid w:val="003F754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rvts0">
    <w:name w:val="rvts0"/>
    <w:basedOn w:val="a0"/>
    <w:rsid w:val="003F754C"/>
  </w:style>
  <w:style w:type="character" w:customStyle="1" w:styleId="relative">
    <w:name w:val="relative"/>
    <w:rsid w:val="003F754C"/>
  </w:style>
  <w:style w:type="paragraph" w:customStyle="1" w:styleId="1">
    <w:name w:val="Без інтервалів1"/>
    <w:qFormat/>
    <w:rsid w:val="003F754C"/>
    <w:pPr>
      <w:jc w:val="left"/>
    </w:pPr>
    <w:rPr>
      <w:rFonts w:ascii="Calibri" w:eastAsia="Calibri" w:hAnsi="Calibri" w:cs="Times New Roman"/>
      <w:color w:val="00000A"/>
    </w:rPr>
  </w:style>
  <w:style w:type="paragraph" w:styleId="a3">
    <w:name w:val="Normal (Web)"/>
    <w:basedOn w:val="a"/>
    <w:uiPriority w:val="99"/>
    <w:semiHidden/>
    <w:unhideWhenUsed/>
    <w:rsid w:val="00493B94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1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4954</Words>
  <Characters>2825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НВО-1</cp:lastModifiedBy>
  <cp:revision>33</cp:revision>
  <dcterms:created xsi:type="dcterms:W3CDTF">2021-11-16T11:42:00Z</dcterms:created>
  <dcterms:modified xsi:type="dcterms:W3CDTF">2022-08-12T11:30:00Z</dcterms:modified>
</cp:coreProperties>
</file>