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4820B8" w:rsidRPr="004820B8">
        <w:rPr>
          <w:rFonts w:ascii="Times New Roman" w:hAnsi="Times New Roman" w:cs="Times New Roman"/>
          <w:b/>
          <w:i/>
          <w:color w:val="000000"/>
          <w:sz w:val="24"/>
          <w:szCs w:val="24"/>
          <w:bdr w:val="none" w:sz="0" w:space="0" w:color="auto" w:frame="1"/>
          <w:shd w:val="clear" w:color="auto" w:fill="FDFEFD"/>
        </w:rPr>
        <w:t>33190000-8</w:t>
      </w:r>
      <w:r w:rsidR="004820B8" w:rsidRPr="004820B8">
        <w:rPr>
          <w:rFonts w:ascii="Times New Roman" w:hAnsi="Times New Roman" w:cs="Times New Roman"/>
          <w:b/>
          <w:i/>
          <w:color w:val="777777"/>
          <w:sz w:val="24"/>
          <w:szCs w:val="24"/>
          <w:shd w:val="clear" w:color="auto" w:fill="FDFEFD"/>
        </w:rPr>
        <w:t> – «</w:t>
      </w:r>
      <w:r w:rsidR="004820B8" w:rsidRPr="004820B8">
        <w:rPr>
          <w:rFonts w:ascii="Times New Roman" w:hAnsi="Times New Roman" w:cs="Times New Roman"/>
          <w:b/>
          <w:i/>
          <w:color w:val="000000"/>
          <w:sz w:val="24"/>
          <w:szCs w:val="24"/>
          <w:bdr w:val="none" w:sz="0" w:space="0" w:color="auto" w:frame="1"/>
          <w:shd w:val="clear" w:color="auto" w:fill="FDFEFD"/>
        </w:rPr>
        <w:t>Медичне обладнання та вироби медичного призначення різні»</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w:t>
      </w:r>
      <w:r w:rsidRPr="00A935E4">
        <w:rPr>
          <w:rFonts w:ascii="Times New Roman" w:eastAsia="Times New Roman" w:hAnsi="Times New Roman" w:cs="Times New Roman"/>
          <w:color w:val="000000"/>
          <w:sz w:val="24"/>
        </w:rPr>
        <w:lastRenderedPageBreak/>
        <w:t>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t xml:space="preserve">2.7. </w:t>
      </w:r>
      <w:r w:rsidR="0088338E" w:rsidRPr="00A935E4">
        <w:rPr>
          <w:rFonts w:ascii="Times New Roman" w:eastAsia="Times New Roman" w:hAnsi="Times New Roman" w:cs="Times New Roman"/>
          <w:color w:val="000000"/>
          <w:sz w:val="24"/>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 xml:space="preserve">5.8. Товар повинен передаватися Замовнику в упаковці підприємства виробника, яка </w:t>
      </w:r>
      <w:r w:rsidRPr="00A935E4">
        <w:rPr>
          <w:rFonts w:ascii="Times New Roman" w:eastAsia="Times New Roman" w:hAnsi="Times New Roman" w:cs="Times New Roman"/>
          <w:color w:val="00000A"/>
          <w:sz w:val="24"/>
        </w:rPr>
        <w:lastRenderedPageBreak/>
        <w:t>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w:t>
      </w:r>
      <w:r w:rsidRPr="00A935E4">
        <w:rPr>
          <w:rFonts w:ascii="Times New Roman" w:eastAsia="Times New Roman" w:hAnsi="Times New Roman" w:cs="Times New Roman"/>
          <w:sz w:val="24"/>
        </w:rPr>
        <w:lastRenderedPageBreak/>
        <w:t xml:space="preserve">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lastRenderedPageBreak/>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Pr="00A935E4">
        <w:rPr>
          <w:rFonts w:ascii="Times New Roman" w:eastAsia="Times New Roman" w:hAnsi="Times New Roman" w:cs="Times New Roman"/>
          <w:b/>
          <w:color w:val="000000"/>
        </w:rPr>
        <w:lastRenderedPageBreak/>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4820B8" w:rsidRPr="004820B8">
        <w:rPr>
          <w:rFonts w:ascii="Times New Roman" w:hAnsi="Times New Roman" w:cs="Times New Roman"/>
          <w:b/>
          <w:i/>
          <w:color w:val="000000"/>
          <w:sz w:val="24"/>
          <w:szCs w:val="24"/>
          <w:bdr w:val="none" w:sz="0" w:space="0" w:color="auto" w:frame="1"/>
          <w:shd w:val="clear" w:color="auto" w:fill="FDFEFD"/>
        </w:rPr>
        <w:t>33190000-8</w:t>
      </w:r>
      <w:r w:rsidR="004820B8" w:rsidRPr="004820B8">
        <w:rPr>
          <w:rFonts w:ascii="Times New Roman" w:hAnsi="Times New Roman" w:cs="Times New Roman"/>
          <w:b/>
          <w:i/>
          <w:color w:val="777777"/>
          <w:sz w:val="24"/>
          <w:szCs w:val="24"/>
          <w:shd w:val="clear" w:color="auto" w:fill="FDFEFD"/>
        </w:rPr>
        <w:t> – «</w:t>
      </w:r>
      <w:r w:rsidR="004820B8" w:rsidRPr="004820B8">
        <w:rPr>
          <w:rFonts w:ascii="Times New Roman" w:hAnsi="Times New Roman" w:cs="Times New Roman"/>
          <w:b/>
          <w:i/>
          <w:color w:val="000000"/>
          <w:sz w:val="24"/>
          <w:szCs w:val="24"/>
          <w:bdr w:val="none" w:sz="0" w:space="0" w:color="auto" w:frame="1"/>
          <w:shd w:val="clear" w:color="auto" w:fill="FDFEFD"/>
        </w:rPr>
        <w:t>Медичне обладнання та вироби медичного призначення різні»</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D8039E" w:rsidRPr="00A935E4" w:rsidTr="00D50E0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4820B8" w:rsidRDefault="004820B8" w:rsidP="00D8039E">
            <w:pPr>
              <w:spacing w:line="300" w:lineRule="atLeast"/>
              <w:rPr>
                <w:rFonts w:ascii="Times New Roman" w:hAnsi="Times New Roman" w:cs="Times New Roman"/>
                <w:b/>
                <w:i/>
                <w:color w:val="000000"/>
              </w:rPr>
            </w:pPr>
            <w:r w:rsidRPr="004820B8">
              <w:rPr>
                <w:rFonts w:ascii="Times New Roman" w:hAnsi="Times New Roman" w:cs="Times New Roman"/>
                <w:b/>
                <w:i/>
                <w:color w:val="000000"/>
                <w:shd w:val="clear" w:color="auto" w:fill="FDFEFD"/>
              </w:rPr>
              <w:t xml:space="preserve">Столик для операції на руці, розбірний, на опорах, оббивка: </w:t>
            </w:r>
            <w:proofErr w:type="spellStart"/>
            <w:r w:rsidRPr="004820B8">
              <w:rPr>
                <w:rFonts w:ascii="Times New Roman" w:hAnsi="Times New Roman" w:cs="Times New Roman"/>
                <w:b/>
                <w:i/>
                <w:color w:val="000000"/>
                <w:shd w:val="clear" w:color="auto" w:fill="FDFEFD"/>
              </w:rPr>
              <w:t>вінілісшкіра</w:t>
            </w:r>
            <w:proofErr w:type="spellEnd"/>
            <w:r w:rsidRPr="004820B8">
              <w:rPr>
                <w:rFonts w:ascii="Times New Roman" w:hAnsi="Times New Roman" w:cs="Times New Roman"/>
                <w:b/>
                <w:i/>
                <w:color w:val="000000"/>
                <w:shd w:val="clear" w:color="auto" w:fill="FDFEFD"/>
              </w:rPr>
              <w:t>, габарити: 520х460х700-900</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15DC"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4820B8" w:rsidP="00112C68">
            <w:pPr>
              <w:spacing w:after="120"/>
              <w:jc w:val="center"/>
              <w:rPr>
                <w:rFonts w:ascii="Times New Roman" w:hAnsi="Times New Roman" w:cs="Times New Roman"/>
              </w:rPr>
            </w:pPr>
            <w:r>
              <w:rPr>
                <w:rFonts w:ascii="Times New Roman" w:hAnsi="Times New Roman" w:cs="Times New Roman"/>
              </w:rPr>
              <w:t>1</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9A06DC" w:rsidRPr="00A935E4" w:rsidRDefault="009A06DC" w:rsidP="009A06DC">
      <w:pPr>
        <w:spacing w:after="120"/>
        <w:jc w:val="right"/>
        <w:rPr>
          <w:rFonts w:ascii="Times New Roman" w:hAnsi="Times New Roman" w:cs="Times New Roman"/>
        </w:rPr>
      </w:pPr>
      <w:r w:rsidRPr="00A935E4">
        <w:rPr>
          <w:rFonts w:ascii="Times New Roman" w:eastAsia="Arial" w:hAnsi="Times New Roman" w:cs="Times New Roman"/>
          <w:color w:val="000000"/>
          <w:sz w:val="20"/>
        </w:rPr>
        <w:t> </w:t>
      </w:r>
    </w:p>
    <w:p w:rsidR="000A24DB" w:rsidRDefault="009A06DC" w:rsidP="009A06DC">
      <w:pPr>
        <w:spacing w:after="120"/>
        <w:jc w:val="both"/>
        <w:rPr>
          <w:rFonts w:ascii="Times New Roman" w:eastAsia="Arial" w:hAnsi="Times New Roman" w:cs="Times New Roman"/>
          <w:color w:val="000000"/>
          <w:sz w:val="20"/>
        </w:rPr>
      </w:pPr>
      <w:r w:rsidRPr="00A935E4">
        <w:rPr>
          <w:rFonts w:ascii="Times New Roman" w:eastAsia="Arial" w:hAnsi="Times New Roman" w:cs="Times New Roman"/>
          <w:color w:val="000000"/>
          <w:sz w:val="20"/>
        </w:rPr>
        <w:t> </w:t>
      </w:r>
    </w:p>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rPr>
            </w:pP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Pr="00A935E4" w:rsidRDefault="009A06DC" w:rsidP="009A06DC">
      <w:pPr>
        <w:jc w:val="both"/>
        <w:rPr>
          <w:rFonts w:ascii="Times New Roman" w:hAnsi="Times New Roman" w:cs="Times New Roman"/>
        </w:rPr>
      </w:pPr>
    </w:p>
    <w:p w:rsidR="00E610E4" w:rsidRDefault="00E610E4"/>
    <w:sectPr w:rsidR="00E610E4" w:rsidSect="004B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106477"/>
    <w:rsid w:val="00107CAC"/>
    <w:rsid w:val="00112C68"/>
    <w:rsid w:val="00193112"/>
    <w:rsid w:val="001A374E"/>
    <w:rsid w:val="001C7F31"/>
    <w:rsid w:val="0025697B"/>
    <w:rsid w:val="002B7BA9"/>
    <w:rsid w:val="003015A6"/>
    <w:rsid w:val="003B0BD9"/>
    <w:rsid w:val="0045452F"/>
    <w:rsid w:val="00462A7A"/>
    <w:rsid w:val="004820B8"/>
    <w:rsid w:val="004B375D"/>
    <w:rsid w:val="004C58D3"/>
    <w:rsid w:val="004E5720"/>
    <w:rsid w:val="00517BB1"/>
    <w:rsid w:val="0054790B"/>
    <w:rsid w:val="0062258D"/>
    <w:rsid w:val="006D6347"/>
    <w:rsid w:val="006F568F"/>
    <w:rsid w:val="00745F2D"/>
    <w:rsid w:val="007F2579"/>
    <w:rsid w:val="00833B17"/>
    <w:rsid w:val="0088338E"/>
    <w:rsid w:val="008D5F19"/>
    <w:rsid w:val="00940357"/>
    <w:rsid w:val="009A06DC"/>
    <w:rsid w:val="009C09FA"/>
    <w:rsid w:val="009C6568"/>
    <w:rsid w:val="00A270CF"/>
    <w:rsid w:val="00AF5338"/>
    <w:rsid w:val="00B20CDA"/>
    <w:rsid w:val="00BB33E4"/>
    <w:rsid w:val="00BC15DC"/>
    <w:rsid w:val="00BC6668"/>
    <w:rsid w:val="00BE67FA"/>
    <w:rsid w:val="00BF285A"/>
    <w:rsid w:val="00C5229B"/>
    <w:rsid w:val="00CA79D4"/>
    <w:rsid w:val="00CC681D"/>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2024-02-08T14:30:00Z</dcterms:created>
  <dcterms:modified xsi:type="dcterms:W3CDTF">2024-03-12T07:09:00Z</dcterms:modified>
</cp:coreProperties>
</file>