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fill="FFFFFF" w:val="clear"/>
        <w:suppressAutoHyphens w:val="true"/>
        <w:spacing w:lineRule="auto" w:line="240" w:before="0" w:after="0"/>
        <w:ind w:left="30" w:right="0" w:hanging="0"/>
        <w:jc w:val="right"/>
        <w:rPr>
          <w:rFonts w:ascii="Times New Roman" w:hAnsi="Times New Roman"/>
          <w:b/>
          <w:b/>
          <w:bCs/>
          <w:color w:val="000000"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ar-SA"/>
        </w:rPr>
        <w:t>Додаток № 1</w:t>
      </w:r>
    </w:p>
    <w:p>
      <w:pPr>
        <w:pStyle w:val="Normal"/>
        <w:shd w:fill="FFFFFF" w:val="clear"/>
        <w:spacing w:lineRule="auto" w:line="240" w:before="0" w:after="0"/>
        <w:ind w:left="5400" w:right="0" w:firstLine="450"/>
        <w:jc w:val="right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до тендерної документації </w:t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Times New Roman" w:hAnsi="Times New Roman"/>
          <w:b/>
          <w:b/>
          <w:bCs/>
          <w:sz w:val="16"/>
          <w:szCs w:val="16"/>
          <w:lang w:val="uk-UA" w:eastAsia="ar-SA"/>
        </w:rPr>
      </w:pPr>
      <w:r>
        <w:rPr>
          <w:rFonts w:ascii="Times New Roman" w:hAnsi="Times New Roman"/>
          <w:b/>
          <w:bCs/>
          <w:sz w:val="16"/>
          <w:szCs w:val="16"/>
          <w:lang w:val="uk-UA" w:eastAsia="ar-SA"/>
        </w:rPr>
      </w:r>
    </w:p>
    <w:p>
      <w:pPr>
        <w:pStyle w:val="Normal"/>
        <w:suppressAutoHyphens w:val="true"/>
        <w:spacing w:lineRule="auto" w:line="36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uk-UA" w:eastAsia="ar-S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Інформація про необхідні технічні, якісні та кількісні характеристики предмета закупівлі, у тому числі відповідна технічна специфікація </w:t>
      </w:r>
      <w:r>
        <w:rPr>
          <w:rFonts w:eastAsia="Times New Roman" w:ascii="Times New Roman" w:hAnsi="Times New Roman"/>
          <w:b/>
          <w:bCs/>
          <w:i w:val="false"/>
          <w:iCs w:val="false"/>
          <w:sz w:val="24"/>
          <w:szCs w:val="24"/>
          <w:lang w:val="uk-UA" w:eastAsia="ar-SA"/>
        </w:rPr>
        <w:t>“Свинина, курятина (код ДК 021:2015 — 15110000-2 - М’ясо)”:</w:t>
      </w:r>
    </w:p>
    <w:tbl>
      <w:tblPr>
        <w:tblW w:w="10544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8"/>
        <w:gridCol w:w="1701"/>
        <w:gridCol w:w="1057"/>
        <w:gridCol w:w="1352"/>
        <w:gridCol w:w="5896"/>
      </w:tblGrid>
      <w:tr>
        <w:trPr>
          <w:trHeight w:val="536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Arial"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№ </w:t>
            </w:r>
            <w:r>
              <w:rPr>
                <w:rFonts w:eastAsia="Arial"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Arial"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Найменування товару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Arial"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Од</w:t>
            </w:r>
            <w:r>
              <w:rPr>
                <w:rFonts w:eastAsia="Arial"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и</w:t>
            </w:r>
            <w:r>
              <w:rPr>
                <w:rFonts w:eastAsia="Arial"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н</w:t>
            </w:r>
            <w:r>
              <w:rPr>
                <w:rFonts w:eastAsia="Arial"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иця</w:t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Arial"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виміру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Arial"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Кількість товару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Arial"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Вимоги</w:t>
            </w:r>
          </w:p>
        </w:tc>
      </w:tr>
      <w:tr>
        <w:trPr>
          <w:trHeight w:val="283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Курятина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(філе свіже охолоджене)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160" w:leader="none"/>
                <w:tab w:val="left" w:pos="360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Arial"/>
                <w:sz w:val="24"/>
                <w:szCs w:val="24"/>
                <w:lang w:val="uk-UA" w:eastAsia="ru-RU"/>
              </w:rPr>
            </w:pPr>
            <w:r>
              <w:rPr>
                <w:rFonts w:eastAsia="Arial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Arial"/>
                <w:sz w:val="24"/>
                <w:szCs w:val="24"/>
                <w:lang w:val="uk-UA" w:eastAsia="ru-RU"/>
              </w:rPr>
            </w:pPr>
            <w:r>
              <w:rPr>
                <w:rFonts w:eastAsia="Arial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160" w:leader="none"/>
                <w:tab w:val="left" w:pos="360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szCs w:val="24"/>
                <w:lang w:val="uk-UA" w:eastAsia="ru-RU"/>
              </w:rPr>
              <w:t>710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Філе куряче  свіже охолоджене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повинно  бути очищеним, добре вимите, не ушкодженим, цілим, без сторонніх запахів. Рожевого кольору. Повинно бути добре обезкровленим, без плям, синців, поривів, охолоджене з температурою в товщині м’якоті від +4 до 0°С, без заморожування та бути одержано від забою здорової птиці. Запах характерний для даного виду птиці. Вітчизняного виробника. На кожній одиниці фасування або на ярлику, який вкладається в упаковку, повинне бути маркування. Без ГМО, що має бути зазначено на упаковці.</w:t>
            </w:r>
          </w:p>
        </w:tc>
      </w:tr>
      <w:tr>
        <w:trPr>
          <w:trHeight w:val="283" w:hRule="atLeast"/>
        </w:trPr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eastAsia="Arial"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Оцінка якості</w:t>
            </w:r>
          </w:p>
        </w:tc>
        <w:tc>
          <w:tcPr>
            <w:tcW w:w="8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ДСТУ 3143:2013</w:t>
            </w:r>
          </w:p>
        </w:tc>
      </w:tr>
      <w:tr>
        <w:trPr>
          <w:trHeight w:val="283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Свинина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(м'ясо свинини без кісток, свіже охолоджене)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160" w:leader="none"/>
                <w:tab w:val="left" w:pos="3600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szCs w:val="24"/>
                <w:lang w:val="uk-UA" w:eastAsia="ru-RU"/>
              </w:rPr>
              <w:t>710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Свинина нежирна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(м'ясо свинини без кісток, свіже охолоджене)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повинна бути від свині м’ясної породи І або ІІ категорії.  Вітчизняного виробника. М'ясо без кісток (м’якоть), охолоджене з температурою в товщині м’якоті від +4 до 0°С, без заморожування та бути одержано від забою здорової тварини. З м’яса повинні бути видалені: груба сполучна тканина (сухожилля, фасції, в'язок та ін.), жирова тканина, дрібні кістки, хрящі, крупні кровоносні судини, лімфатичні вузли і кров'яні згустки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по консистенції пружне та еластичне.</w:t>
            </w:r>
          </w:p>
        </w:tc>
      </w:tr>
      <w:tr>
        <w:trPr/>
        <w:tc>
          <w:tcPr>
            <w:tcW w:w="2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Оцінка якості</w:t>
            </w:r>
          </w:p>
        </w:tc>
        <w:tc>
          <w:tcPr>
            <w:tcW w:w="83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1"/>
              <w:spacing w:before="0" w:after="0"/>
              <w:rPr>
                <w:rFonts w:ascii="Times New Roman" w:hAnsi="Times New Roman"/>
                <w:b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uk-UA"/>
              </w:rPr>
              <w:t xml:space="preserve">ДСТУ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uk-UA"/>
              </w:rPr>
              <w:t>590:2006</w:t>
            </w:r>
          </w:p>
        </w:tc>
      </w:tr>
    </w:tbl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/>
        </w:rPr>
      </w:r>
    </w:p>
    <w:p>
      <w:pPr>
        <w:pStyle w:val="Normal"/>
        <w:tabs>
          <w:tab w:val="clear" w:pos="709"/>
          <w:tab w:val="left" w:pos="284" w:leader="none"/>
        </w:tabs>
        <w:spacing w:lineRule="auto" w:line="360" w:before="0" w:after="0"/>
        <w:jc w:val="both"/>
        <w:rPr/>
      </w:pPr>
      <w:bookmarkStart w:id="0" w:name="_Hlk62570827"/>
      <w:r>
        <w:rPr>
          <w:rFonts w:ascii="Times New Roman" w:hAnsi="Times New Roman"/>
          <w:sz w:val="24"/>
          <w:szCs w:val="24"/>
          <w:u w:val="single"/>
          <w:lang w:val="uk-UA"/>
        </w:rPr>
        <w:t>Запропонований учасником товар повинен відповідати наступним вимогам: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>
          <w:rFonts w:ascii="Times New Roman" w:hAnsi="Times New Roman"/>
          <w:b/>
          <w:sz w:val="24"/>
          <w:szCs w:val="24"/>
          <w:lang w:val="uk-UA"/>
        </w:rPr>
        <w:t>Технічні характеристики предмету закупівлі</w:t>
      </w:r>
      <w:r>
        <w:rPr>
          <w:rFonts w:ascii="Times New Roman" w:hAnsi="Times New Roman"/>
          <w:sz w:val="24"/>
          <w:szCs w:val="24"/>
          <w:lang w:val="uk-UA"/>
        </w:rPr>
        <w:t xml:space="preserve"> повинні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«Про безпечність та якість харчових продуктів» (зі змінами), «Про дитяче харчування» від 14.09.2006 № 142-V, наказу МОЗ, МОН «Про затвердження порядку організації харчування дітей у навчальних та оздоровчих закладах» від 01.06.2005 № 242/329; постанови КМУ «Про затвердження  норм харчування у навчальних та дитячих закладах оздоровлення та відпочинку» від 22.11.2004. № 1591; Державних санітарних правил і норм влаштування, утримання загальноосвітніх навчальних закладів (ДСанПіН 5.5.2.008-01), затвердженим постановою Головного державного санітарного лікаря України від 14.08.2001 № 63; 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>
          <w:rFonts w:eastAsia="Times New Roman" w:ascii="Times New Roman" w:hAnsi="Times New Roman"/>
          <w:sz w:val="24"/>
          <w:szCs w:val="24"/>
          <w:lang w:val="uk-UA"/>
        </w:rPr>
        <w:t xml:space="preserve">Товар не повинен містити штучних барвників, ароматизаторів, підсилювачів смаку, консервантів (п.1.4 Спільного наказу МОіН та МОЗ У від 15.08.2006 р №620/563), а  також ГМО  (п.6.8 ст. 3 Закону  України  “ Про дитяче харчування “ від 14.09.2006р №142-5). Ці дані повинні бути відображені в документах, які підтверджують якість товару. 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  <w:lang w:val="uk-UA"/>
        </w:rPr>
        <w:t>Строк придатності товару на момент поставки повинен становити не менше 80% від загального терміну зберігання.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  <w:lang w:val="uk-UA"/>
        </w:rPr>
        <w:t>Постачальник разом з продукцією надає Замовнику накладну на товар та всю супровідну документацію (сертифікат якості (відповідності) підприємства-виробника) згідно вимог діючого законодавства.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0" w:leader="none"/>
          <w:tab w:val="left" w:pos="284" w:leader="none"/>
          <w:tab w:val="left" w:pos="360" w:leader="none"/>
        </w:tabs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Доставка товару здійснюється за адресою: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>Місцезнаходження: 09301, Україна, Київська область, Білоцерківський район, селище міського типу Володарка, вулиця Кооперативна, будинок 15</w:t>
      </w:r>
      <w:bookmarkStart w:id="1" w:name="_Hlk62545020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bookmarkEnd w:id="1"/>
      <w:r>
        <w:rPr>
          <w:rFonts w:ascii="Times New Roman" w:hAnsi="Times New Roman"/>
          <w:sz w:val="24"/>
          <w:szCs w:val="24"/>
          <w:lang w:val="uk-UA"/>
        </w:rPr>
        <w:t>ЗДО «Пізнайко» Володарської селищної ради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за заявкою замовника.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  <w:lang w:val="uk-UA"/>
        </w:rPr>
        <w:t>Доставка і розвантаження товару здійснюється спецтранспортом, силами та за рахунок Постачальника по заявці замовника 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  <w:lang w:val="uk-UA"/>
        </w:rPr>
        <w:t xml:space="preserve">Доставка продукції повинна проводитися спеціалізованим автотранспортом згідно з правилами перевезення продовольчих продуктів. Постачальник повинен </w:t>
      </w:r>
      <w:r>
        <w:rPr>
          <w:rFonts w:ascii="Times New Roman" w:hAnsi="Times New Roman"/>
          <w:sz w:val="24"/>
          <w:szCs w:val="24"/>
          <w:lang w:val="uk-UA"/>
        </w:rPr>
        <w:t>м</w:t>
      </w:r>
      <w:r>
        <w:rPr>
          <w:rFonts w:ascii="Times New Roman" w:hAnsi="Times New Roman"/>
          <w:sz w:val="24"/>
          <w:szCs w:val="24"/>
          <w:lang w:val="uk-UA"/>
        </w:rPr>
        <w:t>ати санітарн</w:t>
      </w:r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 документ</w:t>
      </w:r>
      <w:r>
        <w:rPr>
          <w:rFonts w:ascii="Times New Roman" w:hAnsi="Times New Roman"/>
          <w:sz w:val="24"/>
          <w:szCs w:val="24"/>
          <w:lang w:val="uk-UA"/>
        </w:rPr>
        <w:t xml:space="preserve">и </w:t>
      </w:r>
      <w:r>
        <w:rPr>
          <w:rFonts w:ascii="Times New Roman" w:hAnsi="Times New Roman"/>
          <w:sz w:val="24"/>
          <w:szCs w:val="24"/>
          <w:lang w:val="uk-UA"/>
        </w:rPr>
        <w:t xml:space="preserve">на транспорт та водія. 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  <w:lang w:val="uk-UA"/>
        </w:rPr>
        <w:t>Приймання товару по якості, комплектності і кількості здійснюється уповноваженими представниками обох Сторін.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  <w:lang w:val="uk-UA"/>
        </w:rPr>
        <w:t>У разі виявлення неякісного товару або такого, що не відповідає умовам договору, Постачальник зобов’язаний замінити неякісний товар протягом однієї доби з моменту виявлення неякісного товару, без будь-якої додаткової оплати з боку Замовника.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-426" w:leader="none"/>
        </w:tabs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 w:eastAsia="uk-UA"/>
        </w:rPr>
        <w:t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навантаження, розвантаження, а також інших витрат, передбачених для товару даного виду згідно з чинним законодавством та  вимогам Замовника.</w:t>
      </w:r>
    </w:p>
    <w:p>
      <w:pPr>
        <w:pStyle w:val="Normal"/>
        <w:widowControl w:val="false"/>
        <w:tabs>
          <w:tab w:val="clear" w:pos="709"/>
          <w:tab w:val="left" w:pos="735" w:leader="none"/>
          <w:tab w:val="center" w:pos="4677" w:leader="none"/>
        </w:tabs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  <w:u w:val="single"/>
          <w:lang w:val="uk-UA"/>
        </w:rPr>
        <w:t>Загальні умови поставки товарів: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9"/>
          <w:tab w:val="left" w:pos="142" w:leader="none"/>
        </w:tabs>
        <w:spacing w:lineRule="auto" w:line="360" w:before="0" w:after="0"/>
        <w:ind w:left="0" w:firstLine="284"/>
        <w:contextualSpacing/>
        <w:jc w:val="both"/>
        <w:rPr/>
      </w:pPr>
      <w:r>
        <w:rPr>
          <w:rFonts w:ascii="Times New Roman" w:hAnsi="Times New Roman"/>
          <w:sz w:val="24"/>
          <w:szCs w:val="24"/>
          <w:lang w:val="uk-UA"/>
        </w:rPr>
        <w:t xml:space="preserve">строки поставки – </w:t>
      </w:r>
      <w:r>
        <w:rPr>
          <w:rFonts w:ascii="Times New Roman" w:hAnsi="Times New Roman"/>
          <w:b/>
          <w:sz w:val="24"/>
          <w:szCs w:val="24"/>
          <w:lang w:val="uk-UA"/>
        </w:rPr>
        <w:t>до 31.12.2023 року включно;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9"/>
          <w:tab w:val="left" w:pos="142" w:leader="none"/>
        </w:tabs>
        <w:spacing w:lineRule="auto" w:line="360" w:before="0" w:after="0"/>
        <w:ind w:left="0" w:firstLine="284"/>
        <w:contextualSpacing/>
        <w:jc w:val="both"/>
        <w:rPr/>
      </w:pPr>
      <w:r>
        <w:rPr>
          <w:rFonts w:ascii="Times New Roman" w:hAnsi="Times New Roman"/>
          <w:sz w:val="24"/>
          <w:szCs w:val="24"/>
          <w:lang w:val="uk-UA"/>
        </w:rPr>
        <w:t>поставка продукції здійснюється окремими партіями, відповідно до наданого Замовником замовлення на поставку Товару (продукції).  Замовлення на поставку відповідної партії Продукції подається Замовником (Покупцем)  у письмовій формі власноручно або передається факсимільним або поштовим зв'язком (рекомендованим листом) або електронним зв’язком, або/чи в усній формі (по телефону).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9"/>
          <w:tab w:val="left" w:pos="142" w:leader="none"/>
        </w:tabs>
        <w:spacing w:lineRule="auto" w:line="360" w:before="0" w:after="0"/>
        <w:ind w:left="0" w:firstLine="284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val="uk-UA"/>
        </w:rPr>
        <w:t>Під час перевезення продукції постачальники і виробники зобов’язані дотримувати умов транспортування згідно ст.44 «Гігієнічні вимоги до транспортних засобів» ЗУ «Про основні принципи та вимоги до безпечності та якості харчових продуктів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  <w:tab w:val="left" w:pos="389" w:leader="none"/>
          <w:tab w:val="left" w:pos="9000" w:leader="none"/>
        </w:tabs>
        <w:spacing w:lineRule="auto" w:line="360" w:before="0" w:after="0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val="uk-UA"/>
        </w:rPr>
        <w:tab/>
        <w:t>- поставки товару здійснюється, згідно заявки Замовника,</w:t>
      </w:r>
      <w:r>
        <w:rPr>
          <w:rFonts w:ascii="Times New Roman" w:hAnsi="Times New Roman"/>
          <w:b/>
          <w:iCs/>
          <w:color w:val="000000"/>
          <w:spacing w:val="-3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не менше ніж 2 рази на тиждень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відповідно до заяви-замовлення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Замовника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протягом строку дії Договору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до 31 грудня 2023</w:t>
      </w:r>
      <w:bookmarkStart w:id="2" w:name="_GoBack3"/>
      <w:bookmarkEnd w:id="2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р включно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>
      <w:pPr>
        <w:pStyle w:val="21"/>
        <w:pBdr/>
        <w:suppressAutoHyphens w:val="true"/>
        <w:spacing w:lineRule="auto" w:line="360" w:before="0" w:after="0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b/>
          <w:bCs w:val="false"/>
          <w:i w:val="false"/>
          <w:iCs w:val="false"/>
          <w:color w:val="00000A"/>
          <w:sz w:val="24"/>
          <w:szCs w:val="24"/>
          <w:u w:val="single"/>
          <w:lang w:val="uk-UA" w:eastAsia="uk-UA" w:bidi="ar-SA"/>
        </w:rPr>
        <w:t>Умови відмови Замовника від продукції:</w:t>
      </w:r>
      <w:r>
        <w:rPr>
          <w:rFonts w:eastAsia="Times New Roman" w:cs="Times New Roman" w:ascii="Times New Roman" w:hAnsi="Times New Roman"/>
          <w:b/>
          <w:bCs w:val="false"/>
          <w:i w:val="false"/>
          <w:iCs w:val="false"/>
          <w:color w:val="00000A"/>
          <w:sz w:val="24"/>
          <w:szCs w:val="24"/>
          <w:lang w:val="uk-UA" w:eastAsia="uk-U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uk-UA" w:eastAsia="uk-UA" w:bidi="ar-SA"/>
        </w:rPr>
        <w:t>товар</w:t>
      </w:r>
      <w:r>
        <w:rPr>
          <w:rFonts w:eastAsia="Times New Roman" w:cs="Times New Roman" w:ascii="Times New Roman" w:hAnsi="Times New Roman"/>
          <w:b/>
          <w:bCs w:val="false"/>
          <w:i w:val="false"/>
          <w:iCs w:val="false"/>
          <w:color w:val="00000A"/>
          <w:sz w:val="24"/>
          <w:szCs w:val="24"/>
          <w:lang w:val="uk-UA" w:eastAsia="uk-U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uk-UA" w:eastAsia="uk-UA" w:bidi="ar-SA"/>
        </w:rPr>
        <w:t xml:space="preserve">не відповідає показникам безпечності та якості, має значні забруднення, присутній сторонній запах. </w:t>
      </w:r>
      <w:bookmarkEnd w:id="0"/>
    </w:p>
    <w:p>
      <w:pPr>
        <w:pStyle w:val="Normal"/>
        <w:shd w:fill="FFFFFF" w:val="clear"/>
        <w:suppressAutoHyphens w:val="true"/>
        <w:spacing w:lineRule="auto" w:line="360" w:before="0" w:after="0"/>
        <w:ind w:left="30" w:right="0" w:hanging="0"/>
        <w:jc w:val="both"/>
        <w:rPr>
          <w:rFonts w:ascii="Times New Roman" w:hAnsi="Times New Roman"/>
          <w:b/>
          <w:b/>
          <w:bCs/>
          <w:lang w:val="uk-UA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4"/>
          <w:szCs w:val="24"/>
          <w:u w:val="none"/>
          <w:lang w:val="uk-UA" w:eastAsia="uk-UA" w:bidi="ar-SA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4"/>
          <w:szCs w:val="24"/>
          <w:u w:val="none"/>
          <w:lang w:val="uk-UA" w:eastAsia="uk-UA" w:bidi="ar-SA"/>
        </w:rPr>
        <w:t>ля під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4"/>
          <w:szCs w:val="24"/>
          <w:u w:val="none"/>
          <w:lang w:val="uk-UA" w:eastAsia="ru-RU" w:bidi="ar-SA"/>
        </w:rPr>
        <w:t>твердже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4"/>
          <w:szCs w:val="24"/>
          <w:u w:val="none"/>
          <w:lang w:val="uk-UA" w:eastAsia="uk-UA" w:bidi="ar-SA"/>
        </w:rPr>
        <w:t xml:space="preserve">ння прийнятності та відповідності товару, що є предметом закупівлі,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4"/>
          <w:szCs w:val="24"/>
          <w:u w:val="none"/>
          <w:lang w:val="uk-UA" w:eastAsia="uk-UA" w:bidi="ar-SA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4"/>
          <w:szCs w:val="24"/>
          <w:u w:val="none"/>
          <w:lang w:val="uk-UA" w:eastAsia="uk-UA" w:bidi="ar-SA"/>
        </w:rPr>
        <w:t xml:space="preserve">часник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4"/>
          <w:szCs w:val="24"/>
          <w:u w:val="none"/>
          <w:lang w:val="uk-UA" w:eastAsia="ru-RU" w:bidi="ar-SA"/>
        </w:rPr>
        <w:t>процед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4"/>
          <w:szCs w:val="24"/>
          <w:u w:val="none"/>
          <w:lang w:val="uk-UA" w:eastAsia="uk-UA" w:bidi="ar-SA"/>
        </w:rPr>
        <w:t>ури закупівлі повинен надати, як частину своєї тендерної пропозиції:</w:t>
      </w:r>
    </w:p>
    <w:p>
      <w:pPr>
        <w:pStyle w:val="Normal"/>
        <w:shd w:fill="FFFFFF" w:val="clear"/>
        <w:suppressAutoHyphens w:val="true"/>
        <w:spacing w:lineRule="auto" w:line="360" w:before="0" w:after="0"/>
        <w:ind w:left="30" w:right="0" w:hanging="0"/>
        <w:jc w:val="both"/>
        <w:rPr>
          <w:rFonts w:ascii="Times New Roman" w:hAnsi="Times New Roman"/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uk-UA" w:eastAsia="uk-UA" w:bidi="ar-SA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uk-UA" w:eastAsia="uk-U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uk-UA" w:eastAsia="uk-UA" w:bidi="ar-SA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uk-UA" w:eastAsia="ru-RU" w:bidi="ar-SA"/>
        </w:rPr>
        <w:t>овідку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uk-UA" w:eastAsia="uk-UA" w:bidi="ar-SA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uk-UA" w:eastAsia="ru-RU" w:bidi="ar-SA"/>
        </w:rPr>
        <w:t xml:space="preserve"> яка містить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uk-UA" w:eastAsia="ru-RU" w:bidi="ar-SA"/>
        </w:rPr>
        <w:t>інформацію, що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uk-UA" w:eastAsia="ru-RU" w:bidi="ar-SA"/>
        </w:rPr>
        <w:t xml:space="preserve"> підтвердж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uk-UA" w:eastAsia="ru-RU" w:bidi="ar-SA"/>
        </w:rPr>
        <w:t>ує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uk-UA" w:eastAsia="ru-RU" w:bidi="ar-SA"/>
        </w:rPr>
        <w:t xml:space="preserve"> відповідн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uk-UA" w:eastAsia="ru-RU" w:bidi="ar-SA"/>
        </w:rPr>
        <w:t>ість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uk-UA" w:eastAsia="ru-RU" w:bidi="ar-SA"/>
        </w:rPr>
        <w:t xml:space="preserve"> його тендерної пропозиції технічним, якісним, кількісним та іншим характеристикам до предмету закупівлі, встановленим цим Додатком. Окрім цього, 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uk-UA" w:eastAsia="ru-RU" w:bidi="ar-SA"/>
        </w:rPr>
        <w:t xml:space="preserve">даній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uk-UA" w:eastAsia="ru-RU" w:bidi="ar-SA"/>
        </w:rPr>
        <w:t>довідці, також потрібно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4"/>
          <w:szCs w:val="24"/>
          <w:u w:val="none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uk-UA" w:eastAsia="ru-RU" w:bidi="ar-SA"/>
        </w:rPr>
        <w:t xml:space="preserve">обов'язково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single"/>
          <w:lang w:val="uk-UA" w:eastAsia="ru-RU" w:bidi="ar-SA"/>
        </w:rPr>
        <w:t>зазначити країну виробництва товару та найменування його виробника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uk-UA" w:eastAsia="ru-RU" w:bidi="ar-SA"/>
        </w:rPr>
        <w:t>.</w:t>
      </w:r>
    </w:p>
    <w:p>
      <w:pPr>
        <w:pStyle w:val="Normal"/>
        <w:widowControl w:val="false"/>
        <w:shd w:fill="FFFFFF" w:val="clear"/>
        <w:suppressAutoHyphens w:val="true"/>
        <w:bidi w:val="0"/>
        <w:spacing w:lineRule="auto" w:line="360" w:before="0" w:after="0"/>
        <w:ind w:left="3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u w:val="none"/>
          <w:shd w:fill="auto" w:val="clear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 xml:space="preserve">-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uk-UA" w:bidi="ar-SA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uk-UA" w:bidi="ar-SA"/>
        </w:rPr>
        <w:t xml:space="preserve">арантійний лист (в довільній формі) від учасника процедури закупівлі, у якому має бути зазначено, що учасник процедури закупівлі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uk-UA" w:bidi="ar-SA"/>
        </w:rPr>
        <w:t xml:space="preserve">не є </w:t>
      </w:r>
      <w:r>
        <w:rPr>
          <w:rFonts w:eastAsia="Times New Roman" w:cs="Times New Roman CYR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  <w:lang w:val="uk-UA" w:eastAsia="ar-SA" w:bidi="ar-SA"/>
        </w:rPr>
        <w:t xml:space="preserve">юридичною особою -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бенефіціарним власником (власником) якої є резидент (резиденти) Російської Федерації/Республіки Білорусь, або фізичною особою (фізичною особою - підприємцем) - резидентом Російської Федерації/Республіки Білорусь, </w:t>
      </w:r>
      <w:r>
        <w:rPr>
          <w:rFonts w:eastAsia="Times New Roman" w:cs="Times New Roman CYR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  <w:lang w:val="uk-UA" w:eastAsia="ar-SA" w:bidi="ar-SA"/>
        </w:rPr>
        <w:t>та</w:t>
      </w:r>
      <w:r>
        <w:rPr>
          <w:rFonts w:eastAsia="Times New Roman" w:cs="Times New Roman CYR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  <w:lang w:val="uk-UA" w:eastAsia="ar-S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uk-UA" w:bidi="ar-SA"/>
        </w:rPr>
        <w:t xml:space="preserve">учасник процедури закупівлі </w:t>
      </w:r>
      <w:r>
        <w:rPr>
          <w:rFonts w:eastAsia="Times New Roman" w:cs="Times New Roman CYR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  <w:lang w:val="uk-UA" w:eastAsia="ar-SA" w:bidi="ar-SA"/>
        </w:rPr>
        <w:t xml:space="preserve">не </w:t>
      </w:r>
      <w:r>
        <w:rPr>
          <w:rFonts w:eastAsia="Times New Roman" w:cs="Times New Roman CYR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  <w:lang w:val="uk-UA" w:eastAsia="ar-SA" w:bidi="ar-SA"/>
        </w:rPr>
        <w:t>є суб’єктом господарювання, що здійснює продаж товарів, робіт, послуг походженням з Російської Федерації/Республіки Білорусь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скасування”).</w:t>
      </w:r>
    </w:p>
    <w:sectPr>
      <w:footerReference w:type="default" r:id="rId2"/>
      <w:type w:val="nextPage"/>
      <w:pgSz w:w="11906" w:h="16838"/>
      <w:pgMar w:left="993" w:right="567" w:gutter="0" w:header="0" w:top="851" w:footer="1134" w:bottom="1693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FreeSet">
    <w:charset w:val="cc"/>
    <w:family w:val="roman"/>
    <w:pitch w:val="variable"/>
  </w:font>
  <w:font w:name="Times New Roman CYR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Normal"/>
    <w:qFormat/>
    <w:pPr>
      <w:numPr>
        <w:ilvl w:val="0"/>
        <w:numId w:val="1"/>
      </w:numPr>
      <w:spacing w:lineRule="auto" w:line="240" w:before="280" w:after="280"/>
      <w:outlineLvl w:val="0"/>
    </w:pPr>
    <w:rPr>
      <w:rFonts w:ascii="Times New Roman" w:hAnsi="Times New Roman" w:cs="Times New Roman"/>
      <w:b/>
      <w:bCs/>
      <w:kern w:val="2"/>
      <w:sz w:val="48"/>
      <w:szCs w:val="48"/>
      <w:lang w:val="ru-RU"/>
    </w:rPr>
  </w:style>
  <w:style w:type="paragraph" w:styleId="2">
    <w:name w:val="Heading 2"/>
    <w:basedOn w:val="Normal"/>
    <w:qFormat/>
    <w:pPr>
      <w:numPr>
        <w:ilvl w:val="0"/>
        <w:numId w:val="0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Style16"/>
    <w:qFormat/>
    <w:pPr/>
    <w:rPr/>
  </w:style>
  <w:style w:type="character" w:styleId="Style11">
    <w:name w:val="Маркери"/>
    <w:qFormat/>
    <w:rPr>
      <w:rFonts w:ascii="OpenSymbol" w:hAnsi="OpenSymbol" w:eastAsia="OpenSymbol" w:cs="OpenSymbol"/>
    </w:rPr>
  </w:style>
  <w:style w:type="character" w:styleId="Style12">
    <w:name w:val="Гіперпосилання"/>
    <w:rPr>
      <w:rFonts w:cs="Times New Roman"/>
      <w:color w:val="0000FF"/>
      <w:u w:val="single"/>
    </w:rPr>
  </w:style>
  <w:style w:type="character" w:styleId="DefaultParagraphFont">
    <w:name w:val="Default Paragraph Font"/>
    <w:qFormat/>
    <w:rPr/>
  </w:style>
  <w:style w:type="character" w:styleId="2350">
    <w:name w:val="2350"/>
    <w:basedOn w:val="DefaultParagraphFont"/>
    <w:qFormat/>
    <w:rPr/>
  </w:style>
  <w:style w:type="character" w:styleId="Style13">
    <w:name w:val="Виділення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4">
    <w:name w:val="Символ нумерації"/>
    <w:qFormat/>
    <w:rPr/>
  </w:style>
  <w:style w:type="character" w:styleId="Hps">
    <w:name w:val="hps"/>
    <w:qFormat/>
    <w:rPr/>
  </w:style>
  <w:style w:type="character" w:styleId="Style15">
    <w:name w:val="Основной шрифт абзаца"/>
    <w:qFormat/>
    <w:rPr/>
  </w:style>
  <w:style w:type="character" w:styleId="Dnone">
    <w:name w:val="d-none"/>
    <w:basedOn w:val="Style15"/>
    <w:qFormat/>
    <w:rPr/>
  </w:style>
  <w:style w:type="character" w:styleId="Rvts0">
    <w:name w:val="rvts0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Mangal"/>
    </w:rPr>
  </w:style>
  <w:style w:type="paragraph" w:styleId="Style21">
    <w:name w:val="Вміст таблиці"/>
    <w:basedOn w:val="Normal"/>
    <w:qFormat/>
    <w:pPr>
      <w:suppressLineNumbers/>
    </w:pPr>
    <w:rPr/>
  </w:style>
  <w:style w:type="paragraph" w:styleId="Style22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3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uk-UA" w:eastAsia="en-US" w:bidi="ar-SA"/>
    </w:rPr>
  </w:style>
  <w:style w:type="paragraph" w:styleId="NormalWeb">
    <w:name w:val="Normal (Web)"/>
    <w:basedOn w:val="Normal"/>
    <w:qFormat/>
    <w:pPr>
      <w:widowControl/>
      <w:bidi w:val="0"/>
      <w:spacing w:lineRule="auto" w:line="276" w:before="100" w:after="100"/>
      <w:jc w:val="left"/>
      <w:textAlignment w:val="auto"/>
    </w:pPr>
    <w:rPr>
      <w:rFonts w:ascii="Calibri" w:hAnsi="Calibri" w:eastAsia="Times New Roman"/>
      <w:sz w:val="24"/>
      <w:lang w:val="ru-RU" w:eastAsia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11">
    <w:name w:val="Îáû÷íûé1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auto"/>
    </w:pPr>
    <w:rPr>
      <w:rFonts w:ascii="FreeSet" w:hAnsi="FreeSet" w:eastAsia="Times New Roman" w:cs="Liberation Serif"/>
      <w:color w:val="000000"/>
      <w:kern w:val="2"/>
      <w:sz w:val="24"/>
      <w:szCs w:val="24"/>
      <w:lang w:val="en-US" w:eastAsia="ar-SA" w:bidi="ar-SA"/>
    </w:rPr>
  </w:style>
  <w:style w:type="paragraph" w:styleId="Style24">
    <w:name w:val="Header"/>
    <w:basedOn w:val="Normal"/>
    <w:pPr>
      <w:tabs>
        <w:tab w:val="clear" w:pos="709"/>
        <w:tab w:val="center" w:pos="4819" w:leader="none"/>
        <w:tab w:val="right" w:pos="9639" w:leader="none"/>
      </w:tabs>
      <w:spacing w:lineRule="auto" w:line="240" w:before="0" w:after="0"/>
    </w:pPr>
    <w:rPr>
      <w:sz w:val="20"/>
      <w:szCs w:val="20"/>
      <w:lang w:val="x-none" w:eastAsia="x-none"/>
    </w:rPr>
  </w:style>
  <w:style w:type="paragraph" w:styleId="TableParagraph">
    <w:name w:val="Table Paragraph"/>
    <w:basedOn w:val="Normal"/>
    <w:qFormat/>
    <w:pPr>
      <w:widowControl w:val="false"/>
      <w:suppressAutoHyphens w:val="true"/>
    </w:pPr>
    <w:rPr>
      <w:rFonts w:ascii="Times New Roman" w:hAnsi="Times New Roman" w:eastAsia="Times New Roman" w:cs="Times New Roman"/>
      <w:lang w:val="en-US" w:eastAsia="zh-CN"/>
    </w:rPr>
  </w:style>
  <w:style w:type="paragraph" w:styleId="Rvps2">
    <w:name w:val="rvps2"/>
    <w:basedOn w:val="Normal"/>
    <w:qFormat/>
    <w:pPr>
      <w:spacing w:lineRule="auto" w:line="240" w:before="280" w:after="280"/>
    </w:pPr>
    <w:rPr>
      <w:rFonts w:ascii="Times New Roman" w:hAnsi="Times New Roman"/>
      <w:sz w:val="24"/>
      <w:szCs w:val="24"/>
      <w:lang w:eastAsia="uk-UA"/>
    </w:rPr>
  </w:style>
  <w:style w:type="paragraph" w:styleId="12">
    <w:name w:val="Обычный1"/>
    <w:qFormat/>
    <w:pPr>
      <w:widowControl/>
      <w:suppressAutoHyphens w:val="true"/>
      <w:kinsoku w:val="true"/>
      <w:overflowPunct w:val="false"/>
      <w:autoSpaceDE w:val="true"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ru-RU" w:eastAsia="zh-CN" w:bidi="ar-SA"/>
    </w:rPr>
  </w:style>
  <w:style w:type="paragraph" w:styleId="Style25">
    <w:name w:val="Заголовок таблиці"/>
    <w:basedOn w:val="Style21"/>
    <w:qFormat/>
    <w:pPr>
      <w:suppressLineNumbers/>
      <w:jc w:val="center"/>
    </w:pPr>
    <w:rPr>
      <w:b/>
      <w:bCs/>
    </w:rPr>
  </w:style>
  <w:style w:type="paragraph" w:styleId="ListParagraph11">
    <w:name w:val="List Paragraph11"/>
    <w:basedOn w:val="Normal"/>
    <w:qFormat/>
    <w:pPr>
      <w:suppressAutoHyphens w:val="false"/>
      <w:spacing w:lineRule="auto" w:line="240" w:before="0" w:after="0"/>
      <w:ind w:left="720" w:right="0" w:hanging="0"/>
      <w:contextualSpacing/>
    </w:pPr>
    <w:rPr>
      <w:rFonts w:ascii="Times New Roman" w:hAnsi="Times New Roman" w:cs="Times New Roman"/>
      <w:color w:val="auto"/>
      <w:sz w:val="20"/>
      <w:szCs w:val="20"/>
      <w:lang w:eastAsia="ru-RU"/>
    </w:rPr>
  </w:style>
  <w:style w:type="paragraph" w:styleId="Style26">
    <w:name w:val="Базовый"/>
    <w:qFormat/>
    <w:pPr>
      <w:widowControl w:val="false"/>
      <w:suppressAutoHyphens w:val="true"/>
      <w:kinsoku w:val="true"/>
      <w:overflowPunct w:val="true"/>
      <w:autoSpaceDE w:val="true"/>
      <w:bidi w:val="0"/>
      <w:spacing w:lineRule="atLeast" w:line="100" w:before="0" w:after="0"/>
      <w:jc w:val="left"/>
    </w:pPr>
    <w:rPr>
      <w:rFonts w:ascii="Times New Roman CYR" w:hAnsi="Times New Roman CYR" w:eastAsia="Times New Roman CYR" w:cs="Liberation Serif"/>
      <w:color w:val="auto"/>
      <w:kern w:val="0"/>
      <w:sz w:val="24"/>
      <w:szCs w:val="24"/>
      <w:lang w:val="ru-RU" w:eastAsia="ar-SA" w:bidi="hi-IN"/>
    </w:rPr>
  </w:style>
  <w:style w:type="paragraph" w:styleId="HTML">
    <w:name w:val="Стандартный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left"/>
    </w:pPr>
    <w:rPr>
      <w:rFonts w:ascii="Courier New" w:hAnsi="Courier New" w:cs="Courier New"/>
      <w:sz w:val="20"/>
    </w:rPr>
  </w:style>
  <w:style w:type="paragraph" w:styleId="Style27">
    <w:name w:val="Звичайний (веб)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eastAsia="Calibri" w:cs="Times New Roman"/>
      <w:sz w:val="24"/>
      <w:szCs w:val="24"/>
      <w:lang w:val="ru-RU" w:eastAsia="zh-CN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en-US" w:eastAsia="zh-CN" w:bidi="en-US"/>
    </w:rPr>
  </w:style>
  <w:style w:type="paragraph" w:styleId="21">
    <w:name w:val="Обычный2"/>
    <w:qFormat/>
    <w:pPr>
      <w:widowControl/>
      <w:kinsoku w:val="true"/>
      <w:overflowPunct w:val="true"/>
      <w:autoSpaceDE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2"/>
      <w:sz w:val="20"/>
      <w:szCs w:val="24"/>
      <w:lang w:eastAsia="ru-RU" w:val="en-US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LibreOffice/7.3.7.2$Windows_X86_64 LibreOffice_project/e114eadc50a9ff8d8c8a0567d6da8f454beeb84f</Application>
  <AppVersion>15.0000</AppVersion>
  <Pages>3</Pages>
  <Words>898</Words>
  <Characters>6115</Characters>
  <CharactersWithSpaces>7000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2022-10-29T19:39:43Z</dcterms:created>
  <dc:creator/>
  <dc:description/>
  <dc:language>uk-UA</dc:language>
  <cp:lastModifiedBy/>
  <cp:revision>1</cp:revision>
  <dc:subject/>
  <dc:title/>
</cp:coreProperties>
</file>