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A" w:rsidRPr="0031586D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3158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ПРОТОКОЛ </w:t>
      </w:r>
    </w:p>
    <w:p w:rsidR="007C769A" w:rsidRPr="0031586D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3158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ЩОДО ПРИЙНЯТТЯ РІШЕННЯ УПОВНОВАЖЕНОЮ ОСОБОЮ</w:t>
      </w:r>
    </w:p>
    <w:p w:rsidR="007E6C62" w:rsidRPr="0031586D" w:rsidRDefault="007E6C62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W w:w="83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2760"/>
        <w:gridCol w:w="2767"/>
      </w:tblGrid>
      <w:tr w:rsidR="007C769A" w:rsidRPr="0031586D" w:rsidTr="007C769A">
        <w:tc>
          <w:tcPr>
            <w:tcW w:w="2771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C769A" w:rsidRPr="0031586D" w:rsidRDefault="008A0D76" w:rsidP="007E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  <w:r w:rsidR="00FC3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.12</w:t>
            </w:r>
            <w:r w:rsidR="00DA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="00FC3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758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C769A" w:rsidRPr="0031586D" w:rsidRDefault="007C769A" w:rsidP="0074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C769A" w:rsidRPr="0031586D" w:rsidRDefault="00741C59" w:rsidP="007C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7C769A" w:rsidRPr="00315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Кіцмань</w:t>
            </w:r>
          </w:p>
          <w:p w:rsidR="007E6C62" w:rsidRPr="0031586D" w:rsidRDefault="007E6C62" w:rsidP="007C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C3115" w:rsidRPr="006B3016" w:rsidRDefault="007C769A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016">
        <w:rPr>
          <w:rFonts w:ascii="Times New Roman" w:hAnsi="Times New Roman" w:cs="Times New Roman"/>
          <w:b w:val="0"/>
          <w:sz w:val="24"/>
          <w:szCs w:val="24"/>
        </w:rPr>
        <w:t xml:space="preserve">Керуючись вимогами статті Закону України «Про публічні закупівлі», </w:t>
      </w:r>
      <w:r w:rsidR="00FC3115" w:rsidRPr="006B3016">
        <w:rPr>
          <w:rFonts w:ascii="Times New Roman" w:hAnsi="Times New Roman" w:cs="Times New Roman"/>
          <w:b w:val="0"/>
          <w:sz w:val="24"/>
          <w:szCs w:val="24"/>
        </w:rPr>
        <w:t xml:space="preserve">пп.2 п. 47 </w:t>
      </w:r>
      <w:r w:rsidR="00E276BE" w:rsidRPr="006B3016">
        <w:rPr>
          <w:rFonts w:ascii="Times New Roman" w:hAnsi="Times New Roman" w:cs="Times New Roman"/>
          <w:b w:val="0"/>
          <w:sz w:val="24"/>
          <w:szCs w:val="24"/>
        </w:rPr>
        <w:t xml:space="preserve">Постанови 1178 </w:t>
      </w:r>
      <w:r w:rsidRPr="006B3016">
        <w:rPr>
          <w:rFonts w:ascii="Times New Roman" w:hAnsi="Times New Roman" w:cs="Times New Roman"/>
          <w:b w:val="0"/>
          <w:sz w:val="24"/>
          <w:szCs w:val="24"/>
        </w:rPr>
        <w:t xml:space="preserve">необхідно </w:t>
      </w:r>
      <w:r w:rsidR="00FC3115" w:rsidRPr="006B3016">
        <w:rPr>
          <w:rFonts w:ascii="Times New Roman" w:hAnsi="Times New Roman" w:cs="Times New Roman"/>
          <w:b w:val="0"/>
          <w:sz w:val="24"/>
          <w:szCs w:val="24"/>
        </w:rPr>
        <w:t xml:space="preserve"> відмінити відкриті торги, розпочаті  02.12.2022</w:t>
      </w:r>
      <w:r w:rsidR="00F72F5B" w:rsidRPr="006B3016">
        <w:rPr>
          <w:rFonts w:ascii="Times New Roman" w:hAnsi="Times New Roman" w:cs="Times New Roman"/>
          <w:b w:val="0"/>
          <w:sz w:val="24"/>
          <w:szCs w:val="24"/>
        </w:rPr>
        <w:t xml:space="preserve"> на закупівлю </w:t>
      </w:r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Фармацевтична продукція (</w:t>
      </w:r>
      <w:proofErr w:type="spellStart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Кетамін</w:t>
      </w:r>
      <w:proofErr w:type="spellEnd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Діазепам</w:t>
      </w:r>
      <w:proofErr w:type="spellEnd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 xml:space="preserve">, Морфіну </w:t>
      </w:r>
      <w:proofErr w:type="spellStart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гідрохлорид</w:t>
      </w:r>
      <w:proofErr w:type="spellEnd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Фентаніл</w:t>
      </w:r>
      <w:proofErr w:type="spellEnd"/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</w:rPr>
        <w:t>)</w:t>
      </w:r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2F5B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ДК</w:t>
      </w:r>
      <w:proofErr w:type="spellEnd"/>
      <w:r w:rsidR="00F72F5B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021:2015: </w:t>
      </w:r>
      <w:r w:rsidR="00FC3115" w:rsidRPr="006B3016">
        <w:rPr>
          <w:rFonts w:ascii="Times New Roman" w:hAnsi="Times New Roman" w:cs="Times New Roman"/>
          <w:b w:val="0"/>
          <w:sz w:val="24"/>
          <w:szCs w:val="24"/>
        </w:rPr>
        <w:t>33600000-6 - Фармацевтична продукція</w:t>
      </w:r>
      <w:r w:rsidR="00F72F5B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суму </w:t>
      </w:r>
      <w:r w:rsidR="00FC3115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320 000</w:t>
      </w:r>
      <w:r w:rsidR="00F72F5B" w:rsidRPr="006B3016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грн.</w:t>
      </w:r>
      <w:r w:rsidR="0031586D" w:rsidRPr="006B3016">
        <w:rPr>
          <w:rFonts w:ascii="Times New Roman" w:hAnsi="Times New Roman" w:cs="Times New Roman"/>
          <w:b w:val="0"/>
          <w:sz w:val="24"/>
          <w:szCs w:val="24"/>
        </w:rPr>
        <w:t xml:space="preserve"> Ідентифікатор</w:t>
      </w:r>
      <w:r w:rsidR="00FC3115" w:rsidRPr="006B3016">
        <w:rPr>
          <w:rFonts w:ascii="Times New Roman" w:hAnsi="Times New Roman" w:cs="Times New Roman"/>
          <w:b w:val="0"/>
          <w:sz w:val="24"/>
          <w:szCs w:val="24"/>
        </w:rPr>
        <w:t xml:space="preserve"> закупівлі </w:t>
      </w:r>
      <w:hyperlink r:id="rId5" w:tgtFrame="_blank" w:tooltip="Оголошення на порталі Уповноваженого органу" w:history="1">
        <w:r w:rsidR="00FC3115" w:rsidRPr="006B3016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UA-2022-12-02-003936-a</w:t>
        </w:r>
      </w:hyperlink>
      <w:r w:rsidR="00FC3115" w:rsidRPr="006B301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3016" w:rsidRPr="006B3016" w:rsidRDefault="00F72F5B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016">
        <w:rPr>
          <w:rFonts w:ascii="Times New Roman" w:hAnsi="Times New Roman" w:cs="Times New Roman"/>
          <w:b w:val="0"/>
          <w:sz w:val="24"/>
          <w:szCs w:val="24"/>
        </w:rPr>
        <w:t>П</w:t>
      </w:r>
      <w:r w:rsidR="006B3016" w:rsidRPr="006B3016">
        <w:rPr>
          <w:rFonts w:ascii="Times New Roman" w:hAnsi="Times New Roman" w:cs="Times New Roman"/>
          <w:b w:val="0"/>
          <w:sz w:val="24"/>
          <w:szCs w:val="24"/>
        </w:rPr>
        <w:t xml:space="preserve">ричина відміни закупівлі: </w:t>
      </w:r>
    </w:p>
    <w:p w:rsidR="00B17F97" w:rsidRPr="006B3016" w:rsidRDefault="006B3016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016">
        <w:rPr>
          <w:rFonts w:ascii="Times New Roman" w:hAnsi="Times New Roman" w:cs="Times New Roman"/>
          <w:b w:val="0"/>
          <w:sz w:val="24"/>
          <w:szCs w:val="24"/>
        </w:rPr>
        <w:t xml:space="preserve">Переможець закупівлі ТОВ «Діаліз медик» через екстрені відключення електричної енергії своєчасно не опублікував документи, які вимагалися від переможця процедури закупівлі, відповідно </w:t>
      </w:r>
      <w:r w:rsidR="00F72F5B" w:rsidRPr="006B3016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B3016">
        <w:rPr>
          <w:rFonts w:ascii="Times New Roman" w:hAnsi="Times New Roman" w:cs="Times New Roman"/>
          <w:b w:val="0"/>
          <w:sz w:val="24"/>
          <w:szCs w:val="24"/>
        </w:rPr>
        <w:t xml:space="preserve">о ч. 44 Постанови 1178, тому укладення договору за результатами закупівлі буде неправомірним, а усунути порушення є неможливим. </w:t>
      </w:r>
      <w:r w:rsidR="00F72F5B" w:rsidRPr="006B3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0D76" w:rsidRPr="006B3016">
        <w:rPr>
          <w:rFonts w:ascii="Times New Roman" w:hAnsi="Times New Roman" w:cs="Times New Roman"/>
          <w:b w:val="0"/>
          <w:sz w:val="24"/>
          <w:szCs w:val="24"/>
        </w:rPr>
        <w:t xml:space="preserve">Згідно </w:t>
      </w:r>
      <w:r w:rsidRPr="006B3016">
        <w:rPr>
          <w:rFonts w:ascii="Times New Roman" w:hAnsi="Times New Roman" w:cs="Times New Roman"/>
          <w:b w:val="0"/>
          <w:sz w:val="24"/>
          <w:szCs w:val="24"/>
        </w:rPr>
        <w:t>пп.2 п. 47 Постанови 1178</w:t>
      </w:r>
      <w:r w:rsidR="008A0D76" w:rsidRPr="006B3016">
        <w:rPr>
          <w:rFonts w:ascii="Times New Roman" w:hAnsi="Times New Roman" w:cs="Times New Roman"/>
          <w:b w:val="0"/>
          <w:sz w:val="24"/>
          <w:szCs w:val="24"/>
        </w:rPr>
        <w:t xml:space="preserve"> замовник відміняє торги у разі неможливості усунення порушень, що виникли через виявлення порушень законодавства у сфері публічних закупівель, з описом таких порушень, які неможливо усунути. </w:t>
      </w:r>
      <w:r w:rsidRPr="006B3016">
        <w:rPr>
          <w:rFonts w:ascii="Times New Roman" w:hAnsi="Times New Roman" w:cs="Times New Roman"/>
          <w:b w:val="0"/>
          <w:sz w:val="24"/>
          <w:szCs w:val="24"/>
        </w:rPr>
        <w:t>ТОВ «Діаліз медик»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звернувся з листом-поясненням від 28.12.2022 № 28, де зазначив причини порушення строків публікації документації</w:t>
      </w:r>
      <w:r w:rsidR="008A0D76" w:rsidRPr="006B3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5ABD">
        <w:rPr>
          <w:rFonts w:ascii="Times New Roman" w:hAnsi="Times New Roman" w:cs="Times New Roman"/>
          <w:b w:val="0"/>
          <w:sz w:val="24"/>
          <w:szCs w:val="24"/>
        </w:rPr>
        <w:t>.</w:t>
      </w:r>
      <w:r w:rsidR="00F72F5B" w:rsidRPr="006B30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7F97" w:rsidRPr="006B3016" w:rsidRDefault="00B17F97" w:rsidP="00B17F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6B3016" w:rsidRDefault="007C769A" w:rsidP="00B17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3016">
        <w:rPr>
          <w:rFonts w:ascii="Times New Roman" w:eastAsia="Times New Roman" w:hAnsi="Times New Roman" w:cs="Times New Roman"/>
          <w:sz w:val="24"/>
          <w:szCs w:val="24"/>
          <w:lang w:val="uk-UA"/>
        </w:rPr>
        <w:t>ВИРІШ</w:t>
      </w:r>
      <w:r w:rsidR="006B3016" w:rsidRPr="006B3016">
        <w:rPr>
          <w:rFonts w:ascii="Times New Roman" w:eastAsia="Times New Roman" w:hAnsi="Times New Roman" w:cs="Times New Roman"/>
          <w:sz w:val="24"/>
          <w:szCs w:val="24"/>
          <w:lang w:val="uk-UA"/>
        </w:rPr>
        <w:t>ЕНО</w:t>
      </w:r>
      <w:r w:rsidRPr="006B301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741C59" w:rsidRPr="006B3016" w:rsidRDefault="00741C59" w:rsidP="006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0D76" w:rsidRPr="006B3016" w:rsidRDefault="00F32EBD" w:rsidP="008A0D76">
      <w:pPr>
        <w:pStyle w:val="2"/>
        <w:numPr>
          <w:ilvl w:val="0"/>
          <w:numId w:val="6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sz w:val="24"/>
          <w:szCs w:val="24"/>
          <w:lang w:val="uk-UA"/>
        </w:rPr>
      </w:pPr>
      <w:r w:rsidRPr="006B3016">
        <w:rPr>
          <w:b w:val="0"/>
          <w:bCs w:val="0"/>
          <w:sz w:val="24"/>
          <w:szCs w:val="24"/>
          <w:lang w:val="uk-UA"/>
        </w:rPr>
        <w:t>В</w:t>
      </w:r>
      <w:r w:rsidR="008A0D76" w:rsidRPr="006B3016">
        <w:rPr>
          <w:b w:val="0"/>
          <w:bCs w:val="0"/>
          <w:sz w:val="24"/>
          <w:szCs w:val="24"/>
          <w:lang w:val="uk-UA"/>
        </w:rPr>
        <w:t xml:space="preserve">ідмінити закупівлю </w:t>
      </w:r>
      <w:r w:rsidR="006B3016" w:rsidRPr="006B3016">
        <w:rPr>
          <w:rStyle w:val="js-lot-title"/>
          <w:b w:val="0"/>
          <w:sz w:val="24"/>
          <w:szCs w:val="24"/>
          <w:lang w:val="uk-UA"/>
        </w:rPr>
        <w:t>Фармацевтична продукція (</w:t>
      </w:r>
      <w:proofErr w:type="spellStart"/>
      <w:r w:rsidR="006B3016" w:rsidRPr="006B3016">
        <w:rPr>
          <w:rStyle w:val="js-lot-title"/>
          <w:b w:val="0"/>
          <w:sz w:val="24"/>
          <w:szCs w:val="24"/>
          <w:lang w:val="uk-UA"/>
        </w:rPr>
        <w:t>Кетамін</w:t>
      </w:r>
      <w:proofErr w:type="spellEnd"/>
      <w:r w:rsidR="006B3016" w:rsidRPr="006B3016">
        <w:rPr>
          <w:rStyle w:val="js-lot-title"/>
          <w:b w:val="0"/>
          <w:sz w:val="24"/>
          <w:szCs w:val="24"/>
          <w:lang w:val="uk-UA"/>
        </w:rPr>
        <w:t xml:space="preserve">, </w:t>
      </w:r>
      <w:proofErr w:type="spellStart"/>
      <w:r w:rsidR="006B3016" w:rsidRPr="006B3016">
        <w:rPr>
          <w:rStyle w:val="js-lot-title"/>
          <w:b w:val="0"/>
          <w:sz w:val="24"/>
          <w:szCs w:val="24"/>
          <w:lang w:val="uk-UA"/>
        </w:rPr>
        <w:t>Діазепам</w:t>
      </w:r>
      <w:proofErr w:type="spellEnd"/>
      <w:r w:rsidR="006B3016" w:rsidRPr="006B3016">
        <w:rPr>
          <w:rStyle w:val="js-lot-title"/>
          <w:b w:val="0"/>
          <w:sz w:val="24"/>
          <w:szCs w:val="24"/>
          <w:lang w:val="uk-UA"/>
        </w:rPr>
        <w:t xml:space="preserve">, Морфіну </w:t>
      </w:r>
      <w:proofErr w:type="spellStart"/>
      <w:r w:rsidR="006B3016" w:rsidRPr="006B3016">
        <w:rPr>
          <w:rStyle w:val="js-lot-title"/>
          <w:b w:val="0"/>
          <w:sz w:val="24"/>
          <w:szCs w:val="24"/>
          <w:lang w:val="uk-UA"/>
        </w:rPr>
        <w:t>гідрохлорид</w:t>
      </w:r>
      <w:proofErr w:type="spellEnd"/>
      <w:r w:rsidR="006B3016" w:rsidRPr="006B3016">
        <w:rPr>
          <w:rStyle w:val="js-lot-title"/>
          <w:b w:val="0"/>
          <w:sz w:val="24"/>
          <w:szCs w:val="24"/>
          <w:lang w:val="uk-UA"/>
        </w:rPr>
        <w:t xml:space="preserve">, </w:t>
      </w:r>
      <w:proofErr w:type="spellStart"/>
      <w:r w:rsidR="006B3016" w:rsidRPr="006B3016">
        <w:rPr>
          <w:rStyle w:val="js-lot-title"/>
          <w:b w:val="0"/>
          <w:sz w:val="24"/>
          <w:szCs w:val="24"/>
          <w:lang w:val="uk-UA"/>
        </w:rPr>
        <w:t>Фентаніл</w:t>
      </w:r>
      <w:proofErr w:type="spellEnd"/>
      <w:r w:rsidR="006B3016" w:rsidRPr="006B3016">
        <w:rPr>
          <w:rStyle w:val="js-lot-title"/>
          <w:b w:val="0"/>
          <w:sz w:val="24"/>
          <w:szCs w:val="24"/>
          <w:lang w:val="uk-UA"/>
        </w:rPr>
        <w:t>)</w:t>
      </w:r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021:2015: </w:t>
      </w:r>
      <w:r w:rsidR="006B3016" w:rsidRPr="006B3016">
        <w:rPr>
          <w:b w:val="0"/>
          <w:sz w:val="24"/>
          <w:szCs w:val="24"/>
          <w:lang w:val="uk-UA"/>
        </w:rPr>
        <w:t>33600000-6 - Фармацевтична продукція</w:t>
      </w:r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на суму 320</w:t>
      </w:r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</w:rPr>
        <w:t> </w:t>
      </w:r>
      <w:r w:rsidR="006B3016" w:rsidRPr="006B3016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000 </w:t>
      </w:r>
      <w:r w:rsidR="008A0D76" w:rsidRPr="006B3016">
        <w:rPr>
          <w:b w:val="0"/>
          <w:sz w:val="24"/>
          <w:szCs w:val="24"/>
          <w:lang w:val="uk-UA"/>
        </w:rPr>
        <w:t xml:space="preserve"> Ідентифікатор закупівлі</w:t>
      </w:r>
      <w:hyperlink r:id="rId6" w:tgtFrame="_blank" w:tooltip="Оголошення на порталі Уповноваженого органу" w:history="1">
        <w:r w:rsidR="008A0D76" w:rsidRPr="006B3016">
          <w:rPr>
            <w:b w:val="0"/>
            <w:sz w:val="24"/>
            <w:szCs w:val="24"/>
            <w:bdr w:val="none" w:sz="0" w:space="0" w:color="auto" w:frame="1"/>
            <w:lang w:val="uk-UA"/>
          </w:rPr>
          <w:br/>
        </w:r>
        <w:hyperlink r:id="rId7" w:tgtFrame="_blank" w:tooltip="Оголошення на порталі Уповноваженого органу" w:history="1">
          <w:r w:rsidR="006B3016" w:rsidRPr="006B3016">
            <w:rPr>
              <w:b w:val="0"/>
              <w:sz w:val="24"/>
              <w:szCs w:val="24"/>
              <w:u w:val="single"/>
            </w:rPr>
            <w:t>UA</w:t>
          </w:r>
          <w:r w:rsidR="006B3016" w:rsidRPr="006B3016">
            <w:rPr>
              <w:b w:val="0"/>
              <w:sz w:val="24"/>
              <w:szCs w:val="24"/>
              <w:u w:val="single"/>
              <w:lang w:val="uk-UA"/>
            </w:rPr>
            <w:t>-2022-12-02-003936-</w:t>
          </w:r>
          <w:r w:rsidR="006B3016" w:rsidRPr="006B3016">
            <w:rPr>
              <w:b w:val="0"/>
              <w:sz w:val="24"/>
              <w:szCs w:val="24"/>
              <w:u w:val="single"/>
            </w:rPr>
            <w:t>a</w:t>
          </w:r>
        </w:hyperlink>
      </w:hyperlink>
      <w:r w:rsidR="008A0D76" w:rsidRPr="006B3016">
        <w:rPr>
          <w:b w:val="0"/>
          <w:sz w:val="24"/>
          <w:szCs w:val="24"/>
          <w:lang w:val="uk-UA"/>
        </w:rPr>
        <w:t xml:space="preserve">. </w:t>
      </w:r>
    </w:p>
    <w:p w:rsidR="008A0D76" w:rsidRPr="006B3016" w:rsidRDefault="0031586D" w:rsidP="008A0D76">
      <w:pPr>
        <w:pStyle w:val="2"/>
        <w:numPr>
          <w:ilvl w:val="0"/>
          <w:numId w:val="6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sz w:val="24"/>
          <w:szCs w:val="24"/>
          <w:lang w:val="uk-UA"/>
        </w:rPr>
      </w:pPr>
      <w:r w:rsidRPr="006B3016">
        <w:rPr>
          <w:b w:val="0"/>
          <w:sz w:val="24"/>
          <w:szCs w:val="24"/>
          <w:lang w:val="uk-UA"/>
        </w:rPr>
        <w:t>О</w:t>
      </w:r>
      <w:r w:rsidR="00F32EBD" w:rsidRPr="006B3016">
        <w:rPr>
          <w:b w:val="0"/>
          <w:sz w:val="24"/>
          <w:szCs w:val="24"/>
          <w:lang w:val="uk-UA"/>
        </w:rPr>
        <w:t xml:space="preserve">прилюднити </w:t>
      </w:r>
      <w:r w:rsidRPr="006B3016">
        <w:rPr>
          <w:b w:val="0"/>
          <w:sz w:val="24"/>
          <w:szCs w:val="24"/>
          <w:lang w:val="uk-UA"/>
        </w:rPr>
        <w:t xml:space="preserve">на </w:t>
      </w:r>
      <w:proofErr w:type="spellStart"/>
      <w:r w:rsidRPr="006B3016">
        <w:rPr>
          <w:b w:val="0"/>
          <w:sz w:val="24"/>
          <w:szCs w:val="24"/>
          <w:lang w:val="uk-UA"/>
        </w:rPr>
        <w:t>веб-порталі</w:t>
      </w:r>
      <w:proofErr w:type="spellEnd"/>
      <w:r w:rsidRPr="006B3016">
        <w:rPr>
          <w:b w:val="0"/>
          <w:sz w:val="24"/>
          <w:szCs w:val="24"/>
          <w:lang w:val="uk-UA"/>
        </w:rPr>
        <w:t xml:space="preserve">  Уповноваженого органу з питань публічних закупівель </w:t>
      </w:r>
      <w:r w:rsidR="008A0D76" w:rsidRPr="006B3016">
        <w:rPr>
          <w:b w:val="0"/>
          <w:sz w:val="24"/>
          <w:szCs w:val="24"/>
          <w:lang w:val="uk-UA"/>
        </w:rPr>
        <w:t xml:space="preserve">протягом одного робочого дня </w:t>
      </w:r>
      <w:r w:rsidRPr="006B3016">
        <w:rPr>
          <w:b w:val="0"/>
          <w:sz w:val="24"/>
          <w:szCs w:val="24"/>
          <w:lang w:val="uk-UA"/>
        </w:rPr>
        <w:t xml:space="preserve">протокол </w:t>
      </w:r>
      <w:r w:rsidR="008A0D76" w:rsidRPr="006B3016">
        <w:rPr>
          <w:b w:val="0"/>
          <w:sz w:val="24"/>
          <w:szCs w:val="24"/>
          <w:lang w:val="uk-UA"/>
        </w:rPr>
        <w:t>про відміну торгів на закупівлю природного газу.</w:t>
      </w:r>
    </w:p>
    <w:p w:rsidR="007C769A" w:rsidRPr="008A0D76" w:rsidRDefault="007C769A" w:rsidP="00B5520C">
      <w:pPr>
        <w:pStyle w:val="2"/>
        <w:numPr>
          <w:ilvl w:val="0"/>
          <w:numId w:val="0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 w:rsidRPr="008A0D76">
        <w:rPr>
          <w:b w:val="0"/>
          <w:bCs w:val="0"/>
          <w:sz w:val="24"/>
          <w:szCs w:val="24"/>
          <w:lang w:val="uk-UA"/>
        </w:rPr>
        <w:t>.</w:t>
      </w:r>
    </w:p>
    <w:p w:rsidR="007B0B8C" w:rsidRPr="008A0D76" w:rsidRDefault="007B0B8C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2B5ABD" w:rsidRDefault="002B5ABD" w:rsidP="002B5ABD">
      <w:pPr>
        <w:pStyle w:val="aa"/>
        <w:tabs>
          <w:tab w:val="left" w:pos="8777"/>
        </w:tabs>
        <w:spacing w:before="199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4575121</wp:posOffset>
            </wp:positionH>
            <wp:positionV relativeFrom="paragraph">
              <wp:posOffset>107100</wp:posOffset>
            </wp:positionV>
            <wp:extent cx="384054" cy="21335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</w:rPr>
        <w:t>Уповноважена</w:t>
      </w:r>
      <w:r>
        <w:rPr>
          <w:color w:val="181818"/>
          <w:spacing w:val="65"/>
        </w:rPr>
        <w:t xml:space="preserve"> </w:t>
      </w:r>
      <w:r>
        <w:rPr>
          <w:color w:val="161616"/>
          <w:spacing w:val="-4"/>
        </w:rPr>
        <w:t>особа</w:t>
      </w:r>
      <w:r>
        <w:rPr>
          <w:color w:val="161616"/>
        </w:rPr>
        <w:tab/>
      </w:r>
      <w:proofErr w:type="spellStart"/>
      <w:r>
        <w:rPr>
          <w:color w:val="181818"/>
        </w:rPr>
        <w:t>Каріна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  <w:spacing w:val="-1"/>
        </w:rPr>
        <w:t>Б</w:t>
      </w:r>
      <w:r>
        <w:rPr>
          <w:color w:val="161616"/>
          <w:spacing w:val="-2"/>
        </w:rPr>
        <w:t>абюк</w:t>
      </w:r>
      <w:proofErr w:type="spellEnd"/>
    </w:p>
    <w:p w:rsidR="002B5ABD" w:rsidRPr="0031586D" w:rsidRDefault="002B5ABD" w:rsidP="002B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8A0D76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0D7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</w:p>
    <w:p w:rsidR="007C769A" w:rsidRPr="008A0D76" w:rsidRDefault="007C769A" w:rsidP="007C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31586D" w:rsidRDefault="007C769A" w:rsidP="007C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769A" w:rsidRPr="0031586D" w:rsidSect="002B5A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874"/>
    <w:multiLevelType w:val="multilevel"/>
    <w:tmpl w:val="04220023"/>
    <w:numStyleLink w:val="1"/>
  </w:abstractNum>
  <w:abstractNum w:abstractNumId="1">
    <w:nsid w:val="394B2BCB"/>
    <w:multiLevelType w:val="multilevel"/>
    <w:tmpl w:val="04220023"/>
    <w:styleLink w:val="1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157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A946DF6"/>
    <w:multiLevelType w:val="hybridMultilevel"/>
    <w:tmpl w:val="56FA1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4400"/>
    <w:multiLevelType w:val="hybridMultilevel"/>
    <w:tmpl w:val="C9706968"/>
    <w:lvl w:ilvl="0" w:tplc="8E62D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C51"/>
    <w:multiLevelType w:val="hybridMultilevel"/>
    <w:tmpl w:val="56FA1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33C"/>
    <w:multiLevelType w:val="multilevel"/>
    <w:tmpl w:val="40C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C769A"/>
    <w:rsid w:val="000B0A85"/>
    <w:rsid w:val="000B4A86"/>
    <w:rsid w:val="000F5ECD"/>
    <w:rsid w:val="001841EE"/>
    <w:rsid w:val="00196606"/>
    <w:rsid w:val="001D5FDA"/>
    <w:rsid w:val="00281253"/>
    <w:rsid w:val="002938A3"/>
    <w:rsid w:val="002B5ABD"/>
    <w:rsid w:val="0031586D"/>
    <w:rsid w:val="003624D1"/>
    <w:rsid w:val="00382103"/>
    <w:rsid w:val="004102EE"/>
    <w:rsid w:val="00413811"/>
    <w:rsid w:val="00414FE5"/>
    <w:rsid w:val="004422D2"/>
    <w:rsid w:val="00475893"/>
    <w:rsid w:val="005B07A7"/>
    <w:rsid w:val="005F2304"/>
    <w:rsid w:val="00620C34"/>
    <w:rsid w:val="006653CE"/>
    <w:rsid w:val="006A11DB"/>
    <w:rsid w:val="006B3016"/>
    <w:rsid w:val="006D566A"/>
    <w:rsid w:val="006E5D08"/>
    <w:rsid w:val="006F660F"/>
    <w:rsid w:val="00732D10"/>
    <w:rsid w:val="00735817"/>
    <w:rsid w:val="00741C59"/>
    <w:rsid w:val="0076308A"/>
    <w:rsid w:val="007642A9"/>
    <w:rsid w:val="007B0B8C"/>
    <w:rsid w:val="007C769A"/>
    <w:rsid w:val="007E6C62"/>
    <w:rsid w:val="00823BE5"/>
    <w:rsid w:val="008620B6"/>
    <w:rsid w:val="008651D6"/>
    <w:rsid w:val="008713E1"/>
    <w:rsid w:val="008A0D76"/>
    <w:rsid w:val="00904048"/>
    <w:rsid w:val="00927484"/>
    <w:rsid w:val="00942A96"/>
    <w:rsid w:val="00A15398"/>
    <w:rsid w:val="00A3401B"/>
    <w:rsid w:val="00A93EA1"/>
    <w:rsid w:val="00AF742E"/>
    <w:rsid w:val="00B041A3"/>
    <w:rsid w:val="00B13A60"/>
    <w:rsid w:val="00B17F97"/>
    <w:rsid w:val="00B5520C"/>
    <w:rsid w:val="00B7302E"/>
    <w:rsid w:val="00B965C4"/>
    <w:rsid w:val="00BA77B6"/>
    <w:rsid w:val="00BD6DDB"/>
    <w:rsid w:val="00BE2170"/>
    <w:rsid w:val="00BE6473"/>
    <w:rsid w:val="00C32CD7"/>
    <w:rsid w:val="00C84072"/>
    <w:rsid w:val="00CB5649"/>
    <w:rsid w:val="00CD1A5F"/>
    <w:rsid w:val="00D54C8E"/>
    <w:rsid w:val="00DA04D9"/>
    <w:rsid w:val="00DA3C4C"/>
    <w:rsid w:val="00E24EF7"/>
    <w:rsid w:val="00E276BE"/>
    <w:rsid w:val="00E84A42"/>
    <w:rsid w:val="00ED1AFA"/>
    <w:rsid w:val="00F32EBD"/>
    <w:rsid w:val="00F40EF6"/>
    <w:rsid w:val="00F61EAF"/>
    <w:rsid w:val="00F72F5B"/>
    <w:rsid w:val="00F76C41"/>
    <w:rsid w:val="00FA18FD"/>
    <w:rsid w:val="00FB2807"/>
    <w:rsid w:val="00FC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1"/>
  </w:style>
  <w:style w:type="paragraph" w:styleId="10">
    <w:name w:val="heading 1"/>
    <w:basedOn w:val="a"/>
    <w:next w:val="a"/>
    <w:link w:val="11"/>
    <w:uiPriority w:val="99"/>
    <w:qFormat/>
    <w:rsid w:val="007C769A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9"/>
    <w:qFormat/>
    <w:rsid w:val="007C769A"/>
    <w:pPr>
      <w:numPr>
        <w:ilvl w:val="1"/>
        <w:numId w:val="3"/>
      </w:numPr>
      <w:tabs>
        <w:tab w:val="clear" w:pos="10157"/>
        <w:tab w:val="num" w:pos="1080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769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C769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7C769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7C769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C769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7C769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7C769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69A"/>
    <w:rPr>
      <w:b/>
      <w:bCs/>
    </w:rPr>
  </w:style>
  <w:style w:type="character" w:styleId="a5">
    <w:name w:val="Emphasis"/>
    <w:basedOn w:val="a0"/>
    <w:uiPriority w:val="20"/>
    <w:qFormat/>
    <w:rsid w:val="007C769A"/>
    <w:rPr>
      <w:i/>
      <w:iCs/>
    </w:rPr>
  </w:style>
  <w:style w:type="character" w:customStyle="1" w:styleId="11">
    <w:name w:val="Заголовок 1 Знак"/>
    <w:basedOn w:val="a0"/>
    <w:link w:val="10"/>
    <w:uiPriority w:val="99"/>
    <w:rsid w:val="007C769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7C76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7C769A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7C769A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7C769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7C769A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7C76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7C769A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7C769A"/>
    <w:rPr>
      <w:rFonts w:ascii="Arial" w:eastAsia="Times New Roman" w:hAnsi="Arial" w:cs="Arial"/>
      <w:lang w:val="uk-UA" w:eastAsia="uk-UA"/>
    </w:rPr>
  </w:style>
  <w:style w:type="numbering" w:customStyle="1" w:styleId="1">
    <w:name w:val="Статья / Раздел1"/>
    <w:rsid w:val="007C769A"/>
    <w:pPr>
      <w:numPr>
        <w:numId w:val="2"/>
      </w:numPr>
    </w:pPr>
  </w:style>
  <w:style w:type="character" w:customStyle="1" w:styleId="js-signtitle">
    <w:name w:val="js-signtitle"/>
    <w:basedOn w:val="a0"/>
    <w:rsid w:val="00904048"/>
  </w:style>
  <w:style w:type="character" w:customStyle="1" w:styleId="value">
    <w:name w:val="value"/>
    <w:basedOn w:val="a0"/>
    <w:rsid w:val="00904048"/>
  </w:style>
  <w:style w:type="paragraph" w:styleId="a6">
    <w:name w:val="Balloon Text"/>
    <w:basedOn w:val="a"/>
    <w:link w:val="a7"/>
    <w:uiPriority w:val="99"/>
    <w:semiHidden/>
    <w:unhideWhenUsed/>
    <w:rsid w:val="00BD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D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41C59"/>
    <w:pPr>
      <w:ind w:left="720"/>
      <w:contextualSpacing/>
    </w:pPr>
  </w:style>
  <w:style w:type="character" w:customStyle="1" w:styleId="js-apiid">
    <w:name w:val="js-apiid"/>
    <w:basedOn w:val="a0"/>
    <w:rsid w:val="0031586D"/>
  </w:style>
  <w:style w:type="character" w:styleId="a9">
    <w:name w:val="Hyperlink"/>
    <w:basedOn w:val="a0"/>
    <w:uiPriority w:val="99"/>
    <w:semiHidden/>
    <w:unhideWhenUsed/>
    <w:rsid w:val="00DA3C4C"/>
    <w:rPr>
      <w:color w:val="0000FF"/>
      <w:u w:val="single"/>
    </w:rPr>
  </w:style>
  <w:style w:type="character" w:customStyle="1" w:styleId="12">
    <w:name w:val="Название объекта1"/>
    <w:basedOn w:val="a0"/>
    <w:rsid w:val="006D566A"/>
  </w:style>
  <w:style w:type="character" w:customStyle="1" w:styleId="js-lot-title">
    <w:name w:val="js-lot-title"/>
    <w:basedOn w:val="a0"/>
    <w:rsid w:val="00F72F5B"/>
  </w:style>
  <w:style w:type="paragraph" w:styleId="aa">
    <w:name w:val="Body Text"/>
    <w:basedOn w:val="a"/>
    <w:link w:val="ab"/>
    <w:uiPriority w:val="1"/>
    <w:qFormat/>
    <w:rsid w:val="002B5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2B5ABD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12-02-003936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19-000413-b" TargetMode="External"/><Relationship Id="rId5" Type="http://schemas.openxmlformats.org/officeDocument/2006/relationships/hyperlink" Target="https://prozorro.gov.ua/tender/UA-2022-12-02-00393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2020-03-05T10:23:00Z</cp:lastPrinted>
  <dcterms:created xsi:type="dcterms:W3CDTF">2022-01-20T08:04:00Z</dcterms:created>
  <dcterms:modified xsi:type="dcterms:W3CDTF">2022-12-29T07:39:00Z</dcterms:modified>
</cp:coreProperties>
</file>