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592235" w:rsidTr="00592235">
        <w:trPr>
          <w:trHeight w:val="208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довідка, складена за зразком </w:t>
            </w:r>
            <w:r w:rsidRPr="00592235">
              <w:rPr>
                <w:rStyle w:val="2"/>
                <w:rFonts w:eastAsiaTheme="minorHAnsi"/>
                <w:b/>
                <w:sz w:val="22"/>
                <w:szCs w:val="22"/>
              </w:rPr>
              <w:t>Додаток № 1</w:t>
            </w:r>
            <w:r w:rsidRPr="00592235">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592235" w:rsidRDefault="00592235" w:rsidP="00592235">
            <w:pPr>
              <w:tabs>
                <w:tab w:val="left" w:pos="202"/>
              </w:tabs>
              <w:jc w:val="both"/>
              <w:rPr>
                <w:rFonts w:ascii="Times New Roman" w:hAnsi="Times New Roman" w:cs="Times New Roman"/>
              </w:rPr>
            </w:pPr>
            <w:r w:rsidRPr="00592235">
              <w:rPr>
                <w:rStyle w:val="2"/>
                <w:rFonts w:eastAsiaTheme="minorHAnsi"/>
                <w:sz w:val="22"/>
                <w:szCs w:val="22"/>
              </w:rPr>
              <w:t>а)</w:t>
            </w:r>
            <w:r w:rsidRPr="00592235">
              <w:rPr>
                <w:rStyle w:val="2"/>
                <w:rFonts w:eastAsiaTheme="minorHAnsi"/>
                <w:sz w:val="22"/>
                <w:szCs w:val="22"/>
              </w:rPr>
              <w:tab/>
              <w:t>реквізити (юридична та фактична адреси, телефон, факс);</w:t>
            </w:r>
          </w:p>
          <w:p w:rsidR="00592235" w:rsidRPr="00592235" w:rsidRDefault="00592235" w:rsidP="00592235">
            <w:pPr>
              <w:tabs>
                <w:tab w:val="left" w:pos="226"/>
              </w:tabs>
              <w:jc w:val="both"/>
              <w:rPr>
                <w:rFonts w:ascii="Times New Roman" w:hAnsi="Times New Roman" w:cs="Times New Roman"/>
              </w:rPr>
            </w:pPr>
            <w:r w:rsidRPr="00592235">
              <w:rPr>
                <w:rStyle w:val="2"/>
                <w:rFonts w:eastAsiaTheme="minorHAnsi"/>
                <w:sz w:val="22"/>
                <w:szCs w:val="22"/>
              </w:rPr>
              <w:t>б)</w:t>
            </w:r>
            <w:r w:rsidRPr="00592235">
              <w:rPr>
                <w:rStyle w:val="2"/>
                <w:rFonts w:eastAsiaTheme="minorHAnsi"/>
                <w:sz w:val="22"/>
                <w:szCs w:val="22"/>
              </w:rPr>
              <w:tab/>
              <w:t>керівництво (посада, прізвище, ім’я, по батькові);</w:t>
            </w:r>
          </w:p>
          <w:p w:rsidR="00592235" w:rsidRPr="00592235" w:rsidRDefault="008D6F6D" w:rsidP="00592235">
            <w:pPr>
              <w:jc w:val="both"/>
              <w:rPr>
                <w:rFonts w:ascii="Times New Roman" w:hAnsi="Times New Roman" w:cs="Times New Roman"/>
              </w:rPr>
            </w:pPr>
            <w:r>
              <w:rPr>
                <w:rStyle w:val="2"/>
                <w:rFonts w:eastAsiaTheme="minorHAnsi"/>
                <w:sz w:val="22"/>
                <w:szCs w:val="22"/>
              </w:rPr>
              <w:t>в)</w:t>
            </w:r>
            <w:r w:rsidR="00592235" w:rsidRPr="00592235">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592235" w:rsidTr="00592235">
        <w:trPr>
          <w:trHeight w:val="126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з обслуговуючого банку учасника/уповноваженої особи учасника про відсутність (наявність) у Учасника простроченої заборгованості за кредитами, дійсну на дату розкриття пропозицій (або довідок, у разі відкриття рахунків у декількох банках). Для об’єднання учасників довідка надається по всім учасникам такого об’єднання;</w:t>
            </w:r>
          </w:p>
        </w:tc>
      </w:tr>
      <w:tr w:rsidR="00592235" w:rsidRPr="00592235" w:rsidTr="00592235">
        <w:trPr>
          <w:trHeight w:val="115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3.</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592235">
              <w:rPr>
                <w:rStyle w:val="2"/>
                <w:rFonts w:eastAsiaTheme="minorHAnsi"/>
                <w:b/>
                <w:sz w:val="22"/>
                <w:szCs w:val="22"/>
              </w:rPr>
              <w:t>Додаток № 7</w:t>
            </w:r>
            <w:r w:rsidRPr="00592235">
              <w:rPr>
                <w:rStyle w:val="2"/>
                <w:rFonts w:eastAsiaTheme="minorHAnsi"/>
                <w:sz w:val="22"/>
                <w:szCs w:val="22"/>
              </w:rPr>
              <w:t>;</w:t>
            </w:r>
          </w:p>
        </w:tc>
      </w:tr>
      <w:tr w:rsidR="00592235" w:rsidRPr="00592235" w:rsidTr="00592235">
        <w:trPr>
          <w:trHeight w:val="1242"/>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4.</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592235">
              <w:rPr>
                <w:rFonts w:ascii="Times New Roman" w:hAnsi="Times New Roman" w:cs="Times New Roman"/>
              </w:rPr>
              <w:t xml:space="preserve"> </w:t>
            </w:r>
            <w:r w:rsidRPr="00592235">
              <w:rPr>
                <w:rStyle w:val="2"/>
                <w:rFonts w:eastAsiaTheme="minorHAnsi"/>
                <w:sz w:val="22"/>
                <w:szCs w:val="22"/>
              </w:rPr>
              <w:t>Для об’єднання учасників довідка надається по всім учасникам такого об’єднання;</w:t>
            </w:r>
          </w:p>
        </w:tc>
      </w:tr>
      <w:tr w:rsidR="00592235" w:rsidRPr="00592235" w:rsidTr="00592235">
        <w:trPr>
          <w:trHeight w:val="1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5.</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592235" w:rsidTr="00592235">
        <w:trPr>
          <w:trHeight w:val="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6.</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Статуту у повному обсязі (тільки для юридичних осіб);</w:t>
            </w:r>
          </w:p>
        </w:tc>
      </w:tr>
      <w:tr w:rsidR="00592235" w:rsidRPr="00592235" w:rsidTr="00592235">
        <w:trPr>
          <w:trHeight w:val="651"/>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7.</w:t>
            </w:r>
          </w:p>
        </w:tc>
        <w:tc>
          <w:tcPr>
            <w:tcW w:w="9355" w:type="dxa"/>
          </w:tcPr>
          <w:p w:rsidR="00592235" w:rsidRPr="00592235" w:rsidRDefault="00592235">
            <w:pPr>
              <w:rPr>
                <w:rFonts w:ascii="Times New Roman" w:hAnsi="Times New Roman" w:cs="Times New Roman"/>
                <w:color w:val="000000"/>
                <w:lang w:eastAsia="uk-UA" w:bidi="uk-UA"/>
              </w:rPr>
            </w:pPr>
            <w:r w:rsidRPr="00592235">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592235" w:rsidTr="00592235">
        <w:trPr>
          <w:trHeight w:val="46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8.</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 xml:space="preserve">заповнена форма тендерної пропозиції (згідно з </w:t>
            </w:r>
            <w:r w:rsidRPr="008D6F6D">
              <w:rPr>
                <w:rStyle w:val="2"/>
                <w:rFonts w:eastAsiaTheme="minorHAnsi"/>
                <w:b/>
                <w:sz w:val="22"/>
                <w:szCs w:val="22"/>
              </w:rPr>
              <w:t>Додатком 4</w:t>
            </w:r>
            <w:r w:rsidRPr="008D6F6D">
              <w:rPr>
                <w:rStyle w:val="2"/>
                <w:rFonts w:eastAsiaTheme="minorHAnsi"/>
                <w:sz w:val="22"/>
                <w:szCs w:val="22"/>
              </w:rPr>
              <w:t xml:space="preserve"> до</w:t>
            </w:r>
            <w:r w:rsidRPr="00592235">
              <w:rPr>
                <w:rStyle w:val="2"/>
                <w:rFonts w:eastAsiaTheme="minorHAnsi"/>
                <w:sz w:val="22"/>
                <w:szCs w:val="22"/>
              </w:rPr>
              <w:t xml:space="preserve"> ТД);</w:t>
            </w:r>
          </w:p>
        </w:tc>
      </w:tr>
      <w:tr w:rsidR="00592235" w:rsidRPr="00592235" w:rsidTr="00592235">
        <w:trPr>
          <w:trHeight w:val="127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9.</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592235" w:rsidTr="00592235">
        <w:trPr>
          <w:trHeight w:val="170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10.</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8D6F6D">
              <w:rPr>
                <w:rStyle w:val="2"/>
                <w:rFonts w:eastAsiaTheme="minorHAnsi"/>
                <w:b/>
                <w:sz w:val="22"/>
                <w:szCs w:val="22"/>
              </w:rPr>
              <w:t>Додатку</w:t>
            </w:r>
            <w:r w:rsidR="008D6F6D" w:rsidRPr="008D6F6D">
              <w:rPr>
                <w:rStyle w:val="2"/>
                <w:rFonts w:eastAsiaTheme="minorHAnsi"/>
                <w:b/>
                <w:sz w:val="22"/>
                <w:szCs w:val="22"/>
              </w:rPr>
              <w:t xml:space="preserve"> 5</w:t>
            </w:r>
            <w:r w:rsidRPr="00592235">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592235" w:rsidTr="00592235">
        <w:trPr>
          <w:trHeight w:val="124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11.</w:t>
            </w:r>
          </w:p>
        </w:tc>
        <w:tc>
          <w:tcPr>
            <w:tcW w:w="9355" w:type="dxa"/>
          </w:tcPr>
          <w:p w:rsidR="00592235" w:rsidRPr="00592235" w:rsidRDefault="00592235" w:rsidP="008D6F6D">
            <w:pPr>
              <w:jc w:val="both"/>
              <w:rPr>
                <w:rFonts w:ascii="Times New Roman" w:hAnsi="Times New Roman" w:cs="Times New Roman"/>
              </w:rPr>
            </w:pPr>
            <w:r w:rsidRPr="00592235">
              <w:rPr>
                <w:rStyle w:val="2"/>
                <w:rFonts w:eastAsiaTheme="minorHAnsi"/>
                <w:sz w:val="22"/>
                <w:szCs w:val="22"/>
              </w:rPr>
              <w:t xml:space="preserve">проект договору про закупівлю </w:t>
            </w:r>
            <w:r w:rsidRPr="008D6F6D">
              <w:rPr>
                <w:rStyle w:val="2"/>
                <w:rFonts w:eastAsiaTheme="minorHAnsi"/>
                <w:b/>
                <w:sz w:val="22"/>
                <w:szCs w:val="22"/>
              </w:rPr>
              <w:t xml:space="preserve">Додаток № </w:t>
            </w:r>
            <w:r w:rsidR="008D6F6D" w:rsidRPr="008D6F6D">
              <w:rPr>
                <w:rStyle w:val="2"/>
                <w:rFonts w:eastAsiaTheme="minorHAnsi"/>
                <w:b/>
                <w:sz w:val="22"/>
                <w:szCs w:val="22"/>
              </w:rPr>
              <w:t>6</w:t>
            </w:r>
            <w:r w:rsidRPr="008D6F6D">
              <w:rPr>
                <w:rStyle w:val="2"/>
                <w:rFonts w:eastAsiaTheme="minorHAnsi"/>
                <w:b/>
                <w:sz w:val="22"/>
                <w:szCs w:val="22"/>
              </w:rPr>
              <w:t>.</w:t>
            </w:r>
            <w:r w:rsidRPr="00592235">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592235" w:rsidTr="00592235">
        <w:trPr>
          <w:trHeight w:val="142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592235" w:rsidTr="00592235">
        <w:trPr>
          <w:trHeight w:val="405"/>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lastRenderedPageBreak/>
              <w:t>13.</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довідки про присвоєння ідентифікаційного коду (для фізичних осіб);</w:t>
            </w:r>
          </w:p>
        </w:tc>
      </w:tr>
      <w:tr w:rsidR="00592235" w:rsidRPr="00592235" w:rsidTr="00592235">
        <w:trPr>
          <w:trHeight w:val="409"/>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14.</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паспорту (для фізичних осіб);</w:t>
            </w:r>
          </w:p>
        </w:tc>
      </w:tr>
      <w:tr w:rsidR="006D1113" w:rsidRPr="00592235" w:rsidTr="00592235">
        <w:trPr>
          <w:trHeight w:val="409"/>
        </w:trPr>
        <w:tc>
          <w:tcPr>
            <w:tcW w:w="562" w:type="dxa"/>
          </w:tcPr>
          <w:p w:rsidR="006D1113" w:rsidRPr="00592235" w:rsidRDefault="006D1113">
            <w:pPr>
              <w:rPr>
                <w:rFonts w:ascii="Times New Roman" w:hAnsi="Times New Roman" w:cs="Times New Roman"/>
              </w:rPr>
            </w:pPr>
            <w:r>
              <w:rPr>
                <w:rFonts w:ascii="Times New Roman" w:hAnsi="Times New Roman" w:cs="Times New Roman"/>
              </w:rPr>
              <w:t>15.</w:t>
            </w:r>
          </w:p>
        </w:tc>
        <w:tc>
          <w:tcPr>
            <w:tcW w:w="9355" w:type="dxa"/>
          </w:tcPr>
          <w:p w:rsidR="006D1113" w:rsidRPr="00592235" w:rsidRDefault="006E6A41" w:rsidP="00A67A21">
            <w:pPr>
              <w:jc w:val="both"/>
              <w:rPr>
                <w:rStyle w:val="2"/>
                <w:rFonts w:eastAsiaTheme="minorHAnsi"/>
                <w:sz w:val="22"/>
                <w:szCs w:val="22"/>
              </w:rPr>
            </w:pPr>
            <w:r>
              <w:rPr>
                <w:rFonts w:ascii="Times New Roman" w:eastAsia="Times New Roman" w:hAnsi="Times New Roman"/>
                <w:sz w:val="24"/>
                <w:szCs w:val="24"/>
                <w:lang w:eastAsia="ru-RU"/>
              </w:rPr>
              <w:t>І</w:t>
            </w:r>
            <w:r w:rsidRPr="00BF3612">
              <w:rPr>
                <w:rFonts w:ascii="Times New Roman" w:eastAsia="Times New Roman" w:hAnsi="Times New Roman"/>
                <w:sz w:val="24"/>
                <w:szCs w:val="24"/>
                <w:lang w:eastAsia="ru-RU"/>
              </w:rPr>
              <w:t xml:space="preserve">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eastAsia="ru-RU"/>
              </w:rPr>
              <w:t>бенефіціарним</w:t>
            </w:r>
            <w:proofErr w:type="spellEnd"/>
            <w:r w:rsidRPr="00BF3612">
              <w:rPr>
                <w:rFonts w:ascii="Times New Roman" w:eastAsia="Times New Roman" w:hAnsi="Times New Roman"/>
                <w:sz w:val="24"/>
                <w:szCs w:val="24"/>
                <w:lang w:eastAsia="ru-RU"/>
              </w:rPr>
              <w:t xml:space="preserve"> власником (власником) якої є рези</w:t>
            </w:r>
            <w:bookmarkStart w:id="0" w:name="_GoBack"/>
            <w:bookmarkEnd w:id="0"/>
            <w:r w:rsidRPr="00BF3612">
              <w:rPr>
                <w:rFonts w:ascii="Times New Roman" w:eastAsia="Times New Roman" w:hAnsi="Times New Roman"/>
                <w:sz w:val="24"/>
                <w:szCs w:val="24"/>
                <w:lang w:eastAsia="ru-RU"/>
              </w:rPr>
              <w:t xml:space="preserve">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eastAsia="ru-RU"/>
              </w:rPr>
              <w:t>закупівель</w:t>
            </w:r>
            <w:proofErr w:type="spellEnd"/>
            <w:r w:rsidRPr="00BF361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6A41" w:rsidRPr="00592235" w:rsidTr="00592235">
        <w:trPr>
          <w:trHeight w:val="409"/>
        </w:trPr>
        <w:tc>
          <w:tcPr>
            <w:tcW w:w="562" w:type="dxa"/>
          </w:tcPr>
          <w:p w:rsidR="006E6A41" w:rsidRDefault="006E6A41">
            <w:pPr>
              <w:rPr>
                <w:rFonts w:ascii="Times New Roman" w:hAnsi="Times New Roman" w:cs="Times New Roman"/>
              </w:rPr>
            </w:pPr>
            <w:r>
              <w:rPr>
                <w:rFonts w:ascii="Times New Roman" w:hAnsi="Times New Roman" w:cs="Times New Roman"/>
              </w:rPr>
              <w:t>16.</w:t>
            </w:r>
          </w:p>
        </w:tc>
        <w:tc>
          <w:tcPr>
            <w:tcW w:w="9355" w:type="dxa"/>
          </w:tcPr>
          <w:p w:rsidR="006E6A41" w:rsidRPr="00BF3612" w:rsidRDefault="006E6A41" w:rsidP="006E6A41">
            <w:pPr>
              <w:jc w:val="both"/>
              <w:rPr>
                <w:rFonts w:ascii="Times New Roman" w:eastAsia="Times New Roman" w:hAnsi="Times New Roman"/>
                <w:sz w:val="24"/>
                <w:szCs w:val="24"/>
                <w:lang w:eastAsia="ru-RU"/>
              </w:rPr>
            </w:pPr>
            <w:r w:rsidRPr="0092233A">
              <w:rPr>
                <w:rFonts w:ascii="Times New Roman" w:eastAsia="Times New Roman" w:hAnsi="Times New Roman"/>
                <w:sz w:val="24"/>
                <w:szCs w:val="24"/>
                <w:lang w:eastAsia="ru-RU"/>
              </w:rPr>
              <w:t>Інформацію в довільній формі про те</w:t>
            </w:r>
            <w:r w:rsidRPr="00BF3612">
              <w:rPr>
                <w:rFonts w:ascii="Times New Roman" w:eastAsia="Times New Roman" w:hAnsi="Times New Roman"/>
                <w:sz w:val="24"/>
                <w:szCs w:val="24"/>
                <w:lang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Default="006E6A41">
            <w:pPr>
              <w:rPr>
                <w:rFonts w:ascii="Times New Roman" w:eastAsia="Times New Roman" w:hAnsi="Times New Roman"/>
                <w:sz w:val="24"/>
                <w:szCs w:val="24"/>
                <w:lang w:eastAsia="ru-RU"/>
              </w:rPr>
            </w:pPr>
          </w:p>
        </w:tc>
      </w:tr>
      <w:tr w:rsidR="00592235" w:rsidRPr="00592235" w:rsidTr="00592235">
        <w:trPr>
          <w:trHeight w:val="6512"/>
        </w:trPr>
        <w:tc>
          <w:tcPr>
            <w:tcW w:w="562" w:type="dxa"/>
          </w:tcPr>
          <w:p w:rsidR="00592235" w:rsidRPr="00592235" w:rsidRDefault="00592235" w:rsidP="006E6A41">
            <w:pPr>
              <w:rPr>
                <w:rFonts w:ascii="Times New Roman" w:hAnsi="Times New Roman" w:cs="Times New Roman"/>
              </w:rPr>
            </w:pPr>
            <w:r w:rsidRPr="00592235">
              <w:rPr>
                <w:rFonts w:ascii="Times New Roman" w:hAnsi="Times New Roman" w:cs="Times New Roman"/>
              </w:rPr>
              <w:t>1</w:t>
            </w:r>
            <w:r w:rsidR="006E6A41">
              <w:rPr>
                <w:rFonts w:ascii="Times New Roman" w:hAnsi="Times New Roman" w:cs="Times New Roman"/>
              </w:rPr>
              <w:t>7.</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592235" w:rsidRDefault="00592235" w:rsidP="00592235">
            <w:pPr>
              <w:pStyle w:val="a4"/>
              <w:numPr>
                <w:ilvl w:val="0"/>
                <w:numId w:val="1"/>
              </w:numPr>
              <w:ind w:left="319" w:firstLine="0"/>
              <w:jc w:val="both"/>
              <w:rPr>
                <w:rStyle w:val="2"/>
                <w:rFonts w:eastAsiaTheme="minorHAnsi"/>
                <w:sz w:val="22"/>
                <w:szCs w:val="22"/>
              </w:rPr>
            </w:pPr>
            <w:r w:rsidRPr="00592235">
              <w:rPr>
                <w:rStyle w:val="2"/>
                <w:rFonts w:eastAsiaTheme="minorHAnsi"/>
                <w:sz w:val="22"/>
                <w:szCs w:val="22"/>
              </w:rPr>
              <w:t>Закону України «Про санкції»;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запобігання та протидію легалізації (в</w:t>
            </w:r>
            <w:r w:rsidR="00330235">
              <w:rPr>
                <w:rFonts w:ascii="Times New Roman" w:hAnsi="Times New Roman" w:cs="Times New Roman"/>
              </w:rPr>
              <w:t>ідмиванн</w:t>
            </w:r>
            <w:r w:rsidRPr="00592235">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592235" w:rsidRDefault="00592235" w:rsidP="00592235">
            <w:pPr>
              <w:ind w:left="35"/>
              <w:jc w:val="both"/>
              <w:rPr>
                <w:rFonts w:ascii="Times New Roman" w:hAnsi="Times New Roman" w:cs="Times New Roman"/>
                <w:color w:val="000000"/>
                <w:lang w:eastAsia="uk-UA" w:bidi="uk-UA"/>
              </w:rPr>
            </w:pPr>
            <w:r w:rsidRPr="00592235">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lastRenderedPageBreak/>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592235" w:rsidRPr="00592235" w:rsidRDefault="00592235">
      <w:pPr>
        <w:rPr>
          <w:rFonts w:ascii="Times New Roman" w:hAnsi="Times New Roman" w:cs="Times New Roman"/>
          <w:i/>
          <w:u w:val="single"/>
        </w:rPr>
      </w:pPr>
    </w:p>
    <w:sectPr w:rsidR="00592235" w:rsidRPr="00592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592235"/>
    <w:rsid w:val="006D1113"/>
    <w:rsid w:val="006E6A41"/>
    <w:rsid w:val="008D6F6D"/>
    <w:rsid w:val="009105E0"/>
    <w:rsid w:val="0092233A"/>
    <w:rsid w:val="00A67A21"/>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11</cp:revision>
  <cp:lastPrinted>2023-05-18T09:48:00Z</cp:lastPrinted>
  <dcterms:created xsi:type="dcterms:W3CDTF">2023-05-18T07:46:00Z</dcterms:created>
  <dcterms:modified xsi:type="dcterms:W3CDTF">2023-06-14T12:58:00Z</dcterms:modified>
</cp:coreProperties>
</file>