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8E605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73FAE865"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0A7461" w:rsidRPr="007E4115">
        <w:rPr>
          <w:rFonts w:ascii="Times New Roman" w:hAnsi="Times New Roman"/>
        </w:rPr>
        <w:t>Медичні матеріали, код 33140000-3 за ДК 021:2015 «Єдиний закупівельний словник»  (Медичні матеріали нехімічні та гематологічні одноразового застосування, код 33141000-0 за ДК 021:2015 «Єдиний закупівельний словник»,  код 58091 за НК 024:2023  - Набір для аферезу; Медичні матеріали нехімічні та гематологічні одноразового застосування, код 33141000-0 за ДК 021:2015 «Єдиний закупівельний словник»,  код 46812 за НК 024:2023  - Розчин для консервування крові, що містить антикоагулянт)</w:t>
      </w:r>
      <w:r w:rsidR="000A7461" w:rsidRPr="006F40F4">
        <w:rPr>
          <w:rFonts w:ascii="Times New Roman" w:hAnsi="Times New Roman"/>
        </w:rPr>
        <w:t>.</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0A7461">
        <w:rPr>
          <w:rFonts w:ascii="Times New Roman" w:hAnsi="Times New Roman"/>
          <w:lang w:val="uk-UA"/>
        </w:rPr>
        <w:t>2</w:t>
      </w:r>
      <w:r w:rsidRPr="00685D12">
        <w:rPr>
          <w:rFonts w:ascii="Times New Roman" w:hAnsi="Times New Roman"/>
        </w:rPr>
        <w:t xml:space="preserve"> найменуван</w:t>
      </w:r>
      <w:r w:rsidR="00222572">
        <w:rPr>
          <w:rFonts w:ascii="Times New Roman" w:hAnsi="Times New Roman"/>
          <w:lang w:val="uk-UA"/>
        </w:rPr>
        <w:t>ня</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 xml:space="preserve">коп.),  в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2.2. Валютою договору є гривня  України.</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  включаючи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14A99E8E" w:rsidR="007852C3" w:rsidRPr="000A7461" w:rsidRDefault="00D35466"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5.3.2 </w:t>
      </w:r>
      <w:r w:rsidR="007852C3" w:rsidRPr="00685D12">
        <w:rPr>
          <w:rFonts w:ascii="Times New Roman" w:hAnsi="Times New Roman"/>
        </w:rPr>
        <w:t xml:space="preserve">Термін придатності не менше </w:t>
      </w:r>
      <w:r w:rsidR="000A7461">
        <w:rPr>
          <w:rFonts w:ascii="Times New Roman" w:hAnsi="Times New Roman"/>
          <w:lang w:val="uk-UA"/>
        </w:rPr>
        <w:t>2 років</w:t>
      </w:r>
      <w:r w:rsidR="007852C3" w:rsidRPr="00685D12">
        <w:rPr>
          <w:rFonts w:ascii="Times New Roman" w:hAnsi="Times New Roman"/>
        </w:rPr>
        <w:t xml:space="preserve"> на момент постачання</w:t>
      </w:r>
      <w:r w:rsidR="000A7461">
        <w:rPr>
          <w:rFonts w:ascii="Times New Roman" w:hAnsi="Times New Roman"/>
          <w:lang w:val="uk-UA"/>
        </w:rPr>
        <w:t>.</w:t>
      </w:r>
      <w:bookmarkStart w:id="0" w:name="_GoBack"/>
      <w:bookmarkEnd w:id="0"/>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5.7. При наявності визнаних претензій: по кількості або якості товару - протягом 30 діб з дня визнання претензії  Постачальник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відповідає  характеру товару і захищає товар </w:t>
      </w:r>
      <w:r w:rsidRPr="00685D12">
        <w:rPr>
          <w:rFonts w:ascii="Times New Roman" w:hAnsi="Times New Roman"/>
        </w:rPr>
        <w:lastRenderedPageBreak/>
        <w:t>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11.1. Всі суперечки, що можуть виникнути під час виконання Договору Сторони будуть вирішувати </w:t>
      </w:r>
      <w:r w:rsidRPr="00685D12">
        <w:rPr>
          <w:rFonts w:ascii="Times New Roman" w:hAnsi="Times New Roman"/>
        </w:rPr>
        <w:lastRenderedPageBreak/>
        <w:t>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w:t>
      </w:r>
      <w:r w:rsidRPr="00685D12">
        <w:rPr>
          <w:rFonts w:ascii="Times New Roman" w:hAnsi="Times New Roman"/>
          <w:bCs/>
          <w:lang w:val="uk-UA"/>
        </w:rPr>
        <w:lastRenderedPageBreak/>
        <w:t xml:space="preserve">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Ціна за од.,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 xml:space="preserve">коп.),  в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340"/>
      </w:tblGrid>
      <w:tr w:rsidR="00121C25" w:rsidRPr="00685D12" w14:paraId="13B8CE58" w14:textId="77777777" w:rsidTr="00455DB8">
        <w:trPr>
          <w:trHeight w:val="2599"/>
        </w:trPr>
        <w:tc>
          <w:tcPr>
            <w:tcW w:w="2481"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519"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A7461"/>
    <w:rsid w:val="000C1805"/>
    <w:rsid w:val="000C598F"/>
    <w:rsid w:val="00106280"/>
    <w:rsid w:val="00117F59"/>
    <w:rsid w:val="00121C25"/>
    <w:rsid w:val="00122146"/>
    <w:rsid w:val="001353D3"/>
    <w:rsid w:val="00147AF4"/>
    <w:rsid w:val="001702EC"/>
    <w:rsid w:val="001873B9"/>
    <w:rsid w:val="00222572"/>
    <w:rsid w:val="0025538A"/>
    <w:rsid w:val="002764F2"/>
    <w:rsid w:val="002D6019"/>
    <w:rsid w:val="002E35D2"/>
    <w:rsid w:val="002E6132"/>
    <w:rsid w:val="002F07E5"/>
    <w:rsid w:val="00300557"/>
    <w:rsid w:val="00314178"/>
    <w:rsid w:val="00340933"/>
    <w:rsid w:val="003445A0"/>
    <w:rsid w:val="00346A4D"/>
    <w:rsid w:val="003A04BC"/>
    <w:rsid w:val="003F4A2B"/>
    <w:rsid w:val="0043212C"/>
    <w:rsid w:val="00455DB8"/>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13410</Words>
  <Characters>7645</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99</cp:revision>
  <dcterms:created xsi:type="dcterms:W3CDTF">2022-11-20T14:45:00Z</dcterms:created>
  <dcterms:modified xsi:type="dcterms:W3CDTF">2024-02-26T09:42:00Z</dcterms:modified>
</cp:coreProperties>
</file>