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41" w:rsidRPr="00457D41" w:rsidRDefault="00457D41" w:rsidP="00457D41">
      <w:pPr>
        <w:spacing w:line="259" w:lineRule="auto"/>
        <w:ind w:left="5660" w:firstLine="700"/>
        <w:jc w:val="right"/>
        <w:rPr>
          <w:rFonts w:eastAsia="Calibri"/>
          <w:color w:val="auto"/>
          <w:lang w:val="uk-UA" w:eastAsia="uk-UA"/>
        </w:rPr>
      </w:pPr>
      <w:r w:rsidRPr="00457D41">
        <w:rPr>
          <w:rFonts w:eastAsia="Calibri"/>
          <w:b/>
          <w:lang w:val="uk-UA" w:eastAsia="uk-UA"/>
        </w:rPr>
        <w:t>ДОДАТОК 2</w:t>
      </w:r>
    </w:p>
    <w:p w:rsidR="00457D41" w:rsidRPr="00457D41" w:rsidRDefault="00457D41" w:rsidP="00457D41">
      <w:pPr>
        <w:spacing w:after="160" w:line="259" w:lineRule="auto"/>
        <w:ind w:left="5660" w:firstLine="700"/>
        <w:jc w:val="right"/>
        <w:rPr>
          <w:rFonts w:eastAsia="Calibri"/>
          <w:color w:val="auto"/>
          <w:lang w:val="uk-UA" w:eastAsia="uk-UA"/>
        </w:rPr>
      </w:pPr>
      <w:r w:rsidRPr="00457D41">
        <w:rPr>
          <w:rFonts w:eastAsia="Calibri"/>
          <w:i/>
          <w:lang w:val="uk-UA" w:eastAsia="uk-UA"/>
        </w:rPr>
        <w:t>до тендерної документації</w:t>
      </w:r>
    </w:p>
    <w:p w:rsidR="00457D41" w:rsidRPr="00457D41" w:rsidRDefault="00457D41" w:rsidP="00457D41">
      <w:pPr>
        <w:suppressAutoHyphens/>
        <w:rPr>
          <w:i/>
          <w:color w:val="auto"/>
          <w:sz w:val="16"/>
          <w:szCs w:val="16"/>
          <w:lang w:val="uk-UA" w:eastAsia="zh-CN"/>
        </w:rPr>
      </w:pPr>
      <w:r w:rsidRPr="00457D41">
        <w:rPr>
          <w:i/>
          <w:color w:val="auto"/>
          <w:sz w:val="16"/>
          <w:szCs w:val="16"/>
          <w:lang w:val="uk-UA" w:eastAsia="zh-CN"/>
        </w:rPr>
        <w:t>Подається у вигляді, наведеному нижче на фірмовому бланку.</w:t>
      </w:r>
    </w:p>
    <w:p w:rsidR="00457D41" w:rsidRPr="00457D41" w:rsidRDefault="00457D41" w:rsidP="00457D41">
      <w:pPr>
        <w:suppressAutoHyphens/>
        <w:rPr>
          <w:i/>
          <w:color w:val="auto"/>
          <w:sz w:val="16"/>
          <w:szCs w:val="16"/>
          <w:lang w:val="uk-UA" w:eastAsia="zh-CN"/>
        </w:rPr>
      </w:pPr>
      <w:r w:rsidRPr="00457D41">
        <w:rPr>
          <w:i/>
          <w:color w:val="auto"/>
          <w:sz w:val="16"/>
          <w:szCs w:val="16"/>
          <w:lang w:val="uk-UA" w:eastAsia="zh-CN"/>
        </w:rPr>
        <w:t xml:space="preserve"> </w:t>
      </w:r>
    </w:p>
    <w:p w:rsidR="00457D41" w:rsidRPr="00457D41" w:rsidRDefault="00457D41" w:rsidP="00457D41">
      <w:pPr>
        <w:widowControl w:val="0"/>
        <w:autoSpaceDE w:val="0"/>
        <w:autoSpaceDN w:val="0"/>
        <w:adjustRightInd w:val="0"/>
        <w:ind w:right="43"/>
        <w:jc w:val="center"/>
        <w:rPr>
          <w:b/>
          <w:bCs/>
          <w:color w:val="auto"/>
          <w:lang w:val="uk-UA"/>
        </w:rPr>
      </w:pPr>
      <w:r w:rsidRPr="00457D41">
        <w:rPr>
          <w:b/>
          <w:bCs/>
          <w:color w:val="auto"/>
          <w:lang w:val="uk-UA"/>
        </w:rPr>
        <w:t>ІНФОРМАЦІЯ ПРО НЕОБХІДНІ ТЕХНІЧНІ, ЯКІСНІ ТА КІЛЬКІСНІ</w:t>
      </w:r>
    </w:p>
    <w:p w:rsidR="00457D41" w:rsidRPr="00457D41" w:rsidRDefault="00457D41" w:rsidP="00457D41">
      <w:pPr>
        <w:widowControl w:val="0"/>
        <w:autoSpaceDE w:val="0"/>
        <w:autoSpaceDN w:val="0"/>
        <w:adjustRightInd w:val="0"/>
        <w:ind w:right="43"/>
        <w:jc w:val="center"/>
        <w:rPr>
          <w:b/>
          <w:bCs/>
          <w:color w:val="auto"/>
          <w:lang w:val="uk-UA"/>
        </w:rPr>
      </w:pPr>
      <w:r w:rsidRPr="00457D41">
        <w:rPr>
          <w:b/>
          <w:bCs/>
          <w:color w:val="auto"/>
          <w:lang w:val="uk-UA"/>
        </w:rPr>
        <w:t>ХАРАКТЕРИСТИКИ ПРЕДМЕТА ЗАКУПІВЛІ, ІНШІ УМОВИ</w:t>
      </w:r>
    </w:p>
    <w:p w:rsidR="00457D41" w:rsidRPr="00457D41" w:rsidRDefault="00457D41" w:rsidP="00457D41">
      <w:pPr>
        <w:suppressAutoHyphens/>
        <w:jc w:val="center"/>
        <w:rPr>
          <w:color w:val="auto"/>
          <w:lang w:val="uk-UA" w:eastAsia="zh-CN"/>
        </w:rPr>
      </w:pPr>
      <w:r w:rsidRPr="00457D41">
        <w:rPr>
          <w:color w:val="auto"/>
          <w:lang w:val="uk-UA" w:eastAsia="zh-CN"/>
        </w:rPr>
        <w:t xml:space="preserve">на закупівлю </w:t>
      </w:r>
    </w:p>
    <w:p w:rsidR="00457D41" w:rsidRPr="00457D41" w:rsidRDefault="00457D41" w:rsidP="00457D41">
      <w:pPr>
        <w:suppressAutoHyphens/>
        <w:jc w:val="center"/>
        <w:rPr>
          <w:b/>
          <w:color w:val="auto"/>
          <w:lang w:val="uk-UA" w:eastAsia="zh-CN"/>
        </w:rPr>
      </w:pPr>
      <w:r w:rsidRPr="00457D41">
        <w:rPr>
          <w:color w:val="auto"/>
          <w:lang w:val="uk-UA" w:eastAsia="zh-CN"/>
        </w:rPr>
        <w:t>за кодом ДК 021:2015</w:t>
      </w:r>
      <w:r w:rsidRPr="00457D41">
        <w:rPr>
          <w:b/>
          <w:color w:val="auto"/>
          <w:lang w:val="uk-UA" w:eastAsia="zh-CN"/>
        </w:rPr>
        <w:t xml:space="preserve"> - 45230000-8 Будівництво трубопроводів, ліній зв’язку та електропередач, шосе, доріг, аеродромів і залізничних доріг; вирівнювання поверхонь (Послуги машин причіпних для ямкового ремонту асфальтобетонного покриття </w:t>
      </w:r>
      <w:proofErr w:type="spellStart"/>
      <w:r w:rsidRPr="00457D41">
        <w:rPr>
          <w:b/>
          <w:color w:val="auto"/>
          <w:lang w:val="uk-UA" w:eastAsia="zh-CN"/>
        </w:rPr>
        <w:t>струменево-ін’єкційним</w:t>
      </w:r>
      <w:proofErr w:type="spellEnd"/>
      <w:r w:rsidRPr="00457D41">
        <w:rPr>
          <w:b/>
          <w:color w:val="auto"/>
          <w:lang w:val="uk-UA" w:eastAsia="zh-CN"/>
        </w:rPr>
        <w:t xml:space="preserve"> методом)</w:t>
      </w:r>
    </w:p>
    <w:p w:rsidR="00457D41" w:rsidRPr="00457D41" w:rsidRDefault="00457D41" w:rsidP="00457D41">
      <w:pPr>
        <w:suppressAutoHyphens/>
        <w:rPr>
          <w:b/>
          <w:color w:val="auto"/>
          <w:lang w:val="uk-UA" w:eastAsia="zh-CN"/>
        </w:rPr>
      </w:pPr>
    </w:p>
    <w:p w:rsidR="00457D41" w:rsidRPr="00457D41" w:rsidRDefault="00457D41" w:rsidP="00457D41">
      <w:pPr>
        <w:widowControl w:val="0"/>
        <w:suppressLineNumbers/>
        <w:suppressAutoHyphens/>
        <w:spacing w:line="216" w:lineRule="auto"/>
        <w:ind w:firstLine="567"/>
        <w:jc w:val="both"/>
        <w:rPr>
          <w:snapToGrid w:val="0"/>
          <w:color w:val="auto"/>
          <w:lang w:val="uk-UA" w:eastAsia="x-none"/>
        </w:rPr>
      </w:pPr>
      <w:r w:rsidRPr="00457D41">
        <w:rPr>
          <w:snapToGrid w:val="0"/>
          <w:color w:val="auto"/>
          <w:lang w:val="uk-UA" w:eastAsia="x-none"/>
        </w:rPr>
        <w:t>Кожен Учасник повинен представити в своїй пропозиції таблицю відповідності технічним вимогам Замовника (загальних, технічних та організаційних положень) з коментарем щодо кожного пункту у стверджувальній формі відповідно до форми:</w:t>
      </w:r>
    </w:p>
    <w:p w:rsidR="00457D41" w:rsidRPr="00457D41" w:rsidRDefault="00457D41" w:rsidP="00457D41">
      <w:pPr>
        <w:suppressAutoHyphens/>
        <w:rPr>
          <w:b/>
          <w:color w:val="auto"/>
          <w:sz w:val="10"/>
          <w:szCs w:val="10"/>
          <w:lang w:val="uk-UA" w:eastAsia="zh-CN"/>
        </w:rPr>
      </w:pPr>
    </w:p>
    <w:tbl>
      <w:tblPr>
        <w:tblW w:w="10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2286"/>
      </w:tblGrid>
      <w:tr w:rsidR="00457D41" w:rsidRPr="00457D41" w:rsidTr="007C2D6F">
        <w:tc>
          <w:tcPr>
            <w:tcW w:w="8100" w:type="dxa"/>
            <w:tcBorders>
              <w:top w:val="single" w:sz="4" w:space="0" w:color="auto"/>
              <w:left w:val="single" w:sz="4" w:space="0" w:color="auto"/>
              <w:bottom w:val="single" w:sz="4" w:space="0" w:color="auto"/>
              <w:right w:val="single" w:sz="4" w:space="0" w:color="auto"/>
            </w:tcBorders>
          </w:tcPr>
          <w:p w:rsidR="00457D41" w:rsidRPr="00457D41" w:rsidRDefault="00457D41" w:rsidP="00457D41">
            <w:pPr>
              <w:rPr>
                <w:b/>
                <w:color w:val="auto"/>
                <w:lang w:val="uk-UA"/>
              </w:rPr>
            </w:pPr>
          </w:p>
          <w:p w:rsidR="00457D41" w:rsidRPr="00457D41" w:rsidRDefault="00457D41" w:rsidP="00457D41">
            <w:pPr>
              <w:jc w:val="center"/>
              <w:rPr>
                <w:b/>
                <w:color w:val="auto"/>
              </w:rPr>
            </w:pPr>
            <w:proofErr w:type="spellStart"/>
            <w:r w:rsidRPr="00457D41">
              <w:rPr>
                <w:b/>
                <w:color w:val="auto"/>
              </w:rPr>
              <w:t>Вимоги</w:t>
            </w:r>
            <w:proofErr w:type="spellEnd"/>
            <w:r w:rsidRPr="00457D41">
              <w:rPr>
                <w:b/>
                <w:color w:val="auto"/>
              </w:rPr>
              <w:t xml:space="preserve"> </w:t>
            </w:r>
            <w:proofErr w:type="spellStart"/>
            <w:r w:rsidRPr="00457D41">
              <w:rPr>
                <w:b/>
                <w:color w:val="auto"/>
              </w:rPr>
              <w:t>Замовника</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center"/>
              <w:rPr>
                <w:b/>
                <w:color w:val="auto"/>
              </w:rPr>
            </w:pPr>
            <w:proofErr w:type="spellStart"/>
            <w:r w:rsidRPr="00457D41">
              <w:rPr>
                <w:b/>
                <w:color w:val="auto"/>
              </w:rPr>
              <w:t>Відповідність</w:t>
            </w:r>
            <w:proofErr w:type="spellEnd"/>
            <w:r w:rsidRPr="00457D41">
              <w:rPr>
                <w:b/>
                <w:color w:val="auto"/>
              </w:rPr>
              <w:t xml:space="preserve"> </w:t>
            </w:r>
            <w:proofErr w:type="spellStart"/>
            <w:r w:rsidRPr="00457D41">
              <w:rPr>
                <w:b/>
                <w:color w:val="auto"/>
              </w:rPr>
              <w:t>пропозиції</w:t>
            </w:r>
            <w:proofErr w:type="spellEnd"/>
            <w:r w:rsidRPr="00457D41">
              <w:rPr>
                <w:b/>
                <w:color w:val="auto"/>
              </w:rPr>
              <w:t xml:space="preserve"> </w:t>
            </w:r>
            <w:proofErr w:type="spellStart"/>
            <w:r w:rsidRPr="00457D41">
              <w:rPr>
                <w:b/>
                <w:color w:val="auto"/>
              </w:rPr>
              <w:t>вимогам</w:t>
            </w:r>
            <w:proofErr w:type="spellEnd"/>
            <w:r w:rsidRPr="00457D41">
              <w:rPr>
                <w:b/>
                <w:color w:val="auto"/>
              </w:rPr>
              <w:t xml:space="preserve"> </w:t>
            </w:r>
            <w:proofErr w:type="spellStart"/>
            <w:r w:rsidRPr="00457D41">
              <w:rPr>
                <w:b/>
                <w:color w:val="auto"/>
              </w:rPr>
              <w:t>Замовника</w:t>
            </w:r>
            <w:proofErr w:type="spellEnd"/>
            <w:r w:rsidRPr="00457D41">
              <w:rPr>
                <w:b/>
                <w:color w:val="auto"/>
              </w:rPr>
              <w:t xml:space="preserve"> </w:t>
            </w:r>
          </w:p>
        </w:tc>
      </w:tr>
      <w:tr w:rsidR="00457D41" w:rsidRPr="00457D41" w:rsidTr="007C2D6F">
        <w:tc>
          <w:tcPr>
            <w:tcW w:w="8100"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numPr>
                <w:ilvl w:val="0"/>
                <w:numId w:val="9"/>
              </w:numPr>
              <w:spacing w:after="160" w:line="259" w:lineRule="auto"/>
              <w:jc w:val="center"/>
              <w:rPr>
                <w:b/>
                <w:i/>
                <w:iCs/>
                <w:color w:val="auto"/>
              </w:rPr>
            </w:pPr>
            <w:proofErr w:type="spellStart"/>
            <w:r w:rsidRPr="00457D41">
              <w:rPr>
                <w:b/>
                <w:i/>
                <w:iCs/>
                <w:color w:val="auto"/>
              </w:rPr>
              <w:t>Загальні</w:t>
            </w:r>
            <w:proofErr w:type="spellEnd"/>
            <w:r w:rsidRPr="00457D41">
              <w:rPr>
                <w:b/>
                <w:i/>
                <w:iCs/>
                <w:color w:val="auto"/>
              </w:rPr>
              <w:t xml:space="preserve"> </w:t>
            </w:r>
            <w:proofErr w:type="spellStart"/>
            <w:r w:rsidRPr="00457D41">
              <w:rPr>
                <w:b/>
                <w:i/>
                <w:iCs/>
                <w:color w:val="auto"/>
              </w:rPr>
              <w:t>положення</w:t>
            </w:r>
            <w:proofErr w:type="spellEnd"/>
          </w:p>
        </w:tc>
        <w:tc>
          <w:tcPr>
            <w:tcW w:w="2286" w:type="dxa"/>
            <w:tcBorders>
              <w:top w:val="single" w:sz="4" w:space="0" w:color="auto"/>
              <w:left w:val="single" w:sz="4" w:space="0" w:color="auto"/>
              <w:bottom w:val="single" w:sz="4" w:space="0" w:color="auto"/>
              <w:right w:val="single" w:sz="4" w:space="0" w:color="auto"/>
            </w:tcBorders>
          </w:tcPr>
          <w:p w:rsidR="00457D41" w:rsidRPr="00457D41" w:rsidRDefault="00457D41" w:rsidP="00457D41">
            <w:pPr>
              <w:rPr>
                <w:b/>
                <w:bCs/>
                <w:color w:val="auto"/>
              </w:rPr>
            </w:pPr>
          </w:p>
        </w:tc>
      </w:tr>
      <w:tr w:rsidR="00457D41" w:rsidRPr="00457D41" w:rsidTr="007C2D6F">
        <w:trPr>
          <w:trHeight w:val="354"/>
        </w:trPr>
        <w:tc>
          <w:tcPr>
            <w:tcW w:w="8100"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both"/>
              <w:rPr>
                <w:b/>
                <w:bCs/>
                <w:color w:val="auto"/>
                <w:lang w:val="uk-UA"/>
              </w:rPr>
            </w:pPr>
            <w:r w:rsidRPr="00457D41">
              <w:rPr>
                <w:bCs/>
                <w:color w:val="auto"/>
                <w:lang w:val="uk-UA"/>
              </w:rPr>
              <w:t xml:space="preserve">Обсяг закупівлі (площа покриття, яка підлягає ремонту) складає: </w:t>
            </w:r>
            <w:r w:rsidRPr="00457D41">
              <w:rPr>
                <w:b/>
                <w:bCs/>
                <w:color w:val="auto"/>
                <w:lang w:val="uk-UA"/>
              </w:rPr>
              <w:t>6 500 м</w:t>
            </w:r>
            <w:r w:rsidRPr="00457D41">
              <w:rPr>
                <w:b/>
                <w:bCs/>
                <w:color w:val="auto"/>
                <w:vertAlign w:val="superscript"/>
                <w:lang w:val="uk-UA"/>
              </w:rPr>
              <w:t>2</w:t>
            </w:r>
            <w:r w:rsidRPr="00457D41">
              <w:rPr>
                <w:bCs/>
                <w:color w:val="auto"/>
                <w:lang w:val="uk-UA"/>
              </w:rPr>
              <w:t>, а</w:t>
            </w:r>
            <w:r w:rsidRPr="00457D41">
              <w:rPr>
                <w:b/>
                <w:bCs/>
                <w:color w:val="auto"/>
                <w:lang w:val="uk-UA"/>
              </w:rPr>
              <w:t xml:space="preserve"> </w:t>
            </w:r>
            <w:r w:rsidRPr="00457D41">
              <w:rPr>
                <w:bCs/>
                <w:color w:val="auto"/>
                <w:lang w:val="uk-UA"/>
              </w:rPr>
              <w:t xml:space="preserve">саме: </w:t>
            </w:r>
            <w:r w:rsidRPr="00457D41">
              <w:rPr>
                <w:b/>
                <w:bCs/>
                <w:color w:val="auto"/>
                <w:lang w:val="uk-UA"/>
              </w:rPr>
              <w:t>- при глибині вибоїни до 30 мм – 4 000 м</w:t>
            </w:r>
            <w:r w:rsidRPr="00457D41">
              <w:rPr>
                <w:b/>
                <w:bCs/>
                <w:color w:val="auto"/>
                <w:vertAlign w:val="superscript"/>
                <w:lang w:val="uk-UA"/>
              </w:rPr>
              <w:t>2</w:t>
            </w:r>
            <w:r w:rsidRPr="00457D41">
              <w:rPr>
                <w:b/>
                <w:bCs/>
                <w:color w:val="auto"/>
                <w:lang w:val="uk-UA"/>
              </w:rPr>
              <w:t xml:space="preserve">, </w:t>
            </w:r>
          </w:p>
          <w:p w:rsidR="00457D41" w:rsidRPr="00457D41" w:rsidRDefault="00457D41" w:rsidP="00457D41">
            <w:pPr>
              <w:numPr>
                <w:ilvl w:val="0"/>
                <w:numId w:val="11"/>
              </w:numPr>
              <w:spacing w:after="160" w:line="259" w:lineRule="auto"/>
              <w:ind w:hanging="119"/>
              <w:contextualSpacing/>
              <w:jc w:val="both"/>
              <w:rPr>
                <w:b/>
                <w:bCs/>
                <w:color w:val="auto"/>
                <w:lang w:val="uk-UA"/>
              </w:rPr>
            </w:pPr>
            <w:r w:rsidRPr="00457D41">
              <w:rPr>
                <w:b/>
                <w:bCs/>
                <w:color w:val="auto"/>
                <w:lang w:val="uk-UA"/>
              </w:rPr>
              <w:t>при глибині вибоїни до 40 мм – 2 000 м</w:t>
            </w:r>
            <w:r w:rsidRPr="00457D41">
              <w:rPr>
                <w:b/>
                <w:bCs/>
                <w:color w:val="auto"/>
                <w:vertAlign w:val="superscript"/>
                <w:lang w:val="uk-UA"/>
              </w:rPr>
              <w:t>2</w:t>
            </w:r>
            <w:r w:rsidRPr="00457D41">
              <w:rPr>
                <w:b/>
                <w:bCs/>
                <w:color w:val="auto"/>
                <w:lang w:val="uk-UA"/>
              </w:rPr>
              <w:t>,</w:t>
            </w:r>
          </w:p>
          <w:p w:rsidR="00457D41" w:rsidRPr="00457D41" w:rsidRDefault="00457D41" w:rsidP="00457D41">
            <w:pPr>
              <w:numPr>
                <w:ilvl w:val="0"/>
                <w:numId w:val="11"/>
              </w:numPr>
              <w:spacing w:after="160" w:line="259" w:lineRule="auto"/>
              <w:ind w:hanging="119"/>
              <w:contextualSpacing/>
              <w:jc w:val="both"/>
              <w:rPr>
                <w:b/>
                <w:bCs/>
                <w:color w:val="auto"/>
                <w:lang w:val="uk-UA"/>
              </w:rPr>
            </w:pPr>
            <w:r w:rsidRPr="00457D41">
              <w:rPr>
                <w:b/>
                <w:bCs/>
                <w:color w:val="auto"/>
                <w:lang w:val="uk-UA"/>
              </w:rPr>
              <w:t>при глибині вибоїни до 50 мм – 500 м</w:t>
            </w:r>
            <w:r w:rsidRPr="00457D41">
              <w:rPr>
                <w:b/>
                <w:bCs/>
                <w:color w:val="auto"/>
                <w:vertAlign w:val="superscript"/>
                <w:lang w:val="uk-UA"/>
              </w:rPr>
              <w:t>2</w:t>
            </w:r>
            <w:r w:rsidRPr="00457D41">
              <w:rPr>
                <w:b/>
                <w:bCs/>
                <w:color w:val="auto"/>
                <w:lang w:val="uk-UA"/>
              </w:rPr>
              <w:t xml:space="preserve">. </w:t>
            </w:r>
          </w:p>
          <w:p w:rsidR="00457D41" w:rsidRPr="00457D41" w:rsidRDefault="00457D41" w:rsidP="00457D41">
            <w:pPr>
              <w:jc w:val="both"/>
              <w:rPr>
                <w:rFonts w:eastAsia="Calibri"/>
                <w:bCs/>
                <w:color w:val="auto"/>
                <w:lang w:val="uk-UA" w:eastAsia="uk-UA"/>
              </w:rPr>
            </w:pPr>
            <w:r w:rsidRPr="00457D41">
              <w:rPr>
                <w:rFonts w:eastAsia="Calibri"/>
                <w:bCs/>
                <w:color w:val="auto"/>
                <w:lang w:val="uk-UA" w:eastAsia="uk-UA"/>
              </w:rPr>
              <w:t xml:space="preserve">Надання послуг здійснюється у відповідності до затвердженого Плану поточного ремонту балансових об’єктів вулично-шляхової мережі та заявок Замовника </w:t>
            </w:r>
            <w:r w:rsidR="00E32C51">
              <w:rPr>
                <w:rFonts w:eastAsia="Calibri"/>
                <w:bCs/>
                <w:color w:val="auto"/>
                <w:lang w:val="uk-UA" w:eastAsia="uk-UA"/>
              </w:rPr>
              <w:t>до 01 жовтня</w:t>
            </w:r>
            <w:r w:rsidRPr="00457D41">
              <w:rPr>
                <w:rFonts w:eastAsia="Calibri"/>
                <w:bCs/>
                <w:color w:val="auto"/>
                <w:lang w:val="uk-UA" w:eastAsia="uk-UA"/>
              </w:rPr>
              <w:t xml:space="preserve"> 2024 року.</w:t>
            </w:r>
          </w:p>
          <w:p w:rsidR="00457D41" w:rsidRPr="00457D41" w:rsidRDefault="00457D41" w:rsidP="00457D41">
            <w:pPr>
              <w:jc w:val="both"/>
              <w:rPr>
                <w:rFonts w:eastAsia="Calibri"/>
                <w:bCs/>
                <w:color w:val="auto"/>
                <w:lang w:val="uk-UA" w:eastAsia="uk-UA"/>
              </w:rPr>
            </w:pPr>
            <w:r w:rsidRPr="00457D41">
              <w:rPr>
                <w:rFonts w:eastAsia="Calibri"/>
                <w:bCs/>
                <w:color w:val="auto"/>
                <w:lang w:val="uk-UA" w:eastAsia="uk-UA"/>
              </w:rPr>
              <w:t xml:space="preserve">Гарантія на виконані роботи повинна бути </w:t>
            </w:r>
            <w:r w:rsidRPr="00457D41">
              <w:rPr>
                <w:rFonts w:eastAsia="Calibri"/>
                <w:b/>
                <w:bCs/>
                <w:color w:val="auto"/>
                <w:lang w:val="uk-UA" w:eastAsia="uk-UA"/>
              </w:rPr>
              <w:t>не менше 12 місяців</w:t>
            </w:r>
            <w:r w:rsidRPr="00457D41">
              <w:rPr>
                <w:rFonts w:eastAsia="Calibri"/>
                <w:bCs/>
                <w:color w:val="auto"/>
                <w:lang w:val="uk-UA" w:eastAsia="uk-UA"/>
              </w:rPr>
              <w:t>.</w:t>
            </w:r>
          </w:p>
        </w:tc>
        <w:tc>
          <w:tcPr>
            <w:tcW w:w="2286"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center"/>
              <w:rPr>
                <w:bCs/>
                <w:color w:val="auto"/>
              </w:rPr>
            </w:pPr>
            <w:proofErr w:type="spellStart"/>
            <w:proofErr w:type="gramStart"/>
            <w:r w:rsidRPr="00457D41">
              <w:rPr>
                <w:bCs/>
                <w:color w:val="auto"/>
              </w:rPr>
              <w:t>П</w:t>
            </w:r>
            <w:proofErr w:type="gramEnd"/>
            <w:r w:rsidRPr="00457D41">
              <w:rPr>
                <w:bCs/>
                <w:color w:val="auto"/>
              </w:rPr>
              <w:t>ідтвердження</w:t>
            </w:r>
            <w:proofErr w:type="spellEnd"/>
          </w:p>
        </w:tc>
      </w:tr>
      <w:tr w:rsidR="00457D41" w:rsidRPr="00457D41" w:rsidTr="007C2D6F">
        <w:trPr>
          <w:trHeight w:val="971"/>
        </w:trPr>
        <w:tc>
          <w:tcPr>
            <w:tcW w:w="8100"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both"/>
              <w:rPr>
                <w:bCs/>
                <w:color w:val="auto"/>
              </w:rPr>
            </w:pPr>
            <w:proofErr w:type="spellStart"/>
            <w:r w:rsidRPr="00457D41">
              <w:rPr>
                <w:bCs/>
                <w:color w:val="auto"/>
              </w:rPr>
              <w:t>Учасник</w:t>
            </w:r>
            <w:proofErr w:type="spellEnd"/>
            <w:r w:rsidRPr="00457D41">
              <w:rPr>
                <w:bCs/>
                <w:color w:val="auto"/>
              </w:rPr>
              <w:t xml:space="preserve"> повинен </w:t>
            </w:r>
            <w:proofErr w:type="spellStart"/>
            <w:r w:rsidRPr="00457D41">
              <w:rPr>
                <w:bCs/>
                <w:color w:val="auto"/>
              </w:rPr>
              <w:t>забезпечити</w:t>
            </w:r>
            <w:proofErr w:type="spellEnd"/>
            <w:r w:rsidRPr="00457D41">
              <w:rPr>
                <w:bCs/>
                <w:color w:val="auto"/>
              </w:rPr>
              <w:t xml:space="preserve"> </w:t>
            </w:r>
            <w:proofErr w:type="spellStart"/>
            <w:r w:rsidRPr="00457D41">
              <w:rPr>
                <w:bCs/>
                <w:color w:val="auto"/>
              </w:rPr>
              <w:t>надання</w:t>
            </w:r>
            <w:proofErr w:type="spellEnd"/>
            <w:r w:rsidRPr="00457D41">
              <w:rPr>
                <w:bCs/>
                <w:color w:val="auto"/>
              </w:rPr>
              <w:t xml:space="preserve"> </w:t>
            </w:r>
            <w:proofErr w:type="spellStart"/>
            <w:r w:rsidRPr="00457D41">
              <w:rPr>
                <w:bCs/>
                <w:color w:val="auto"/>
              </w:rPr>
              <w:t>послуг</w:t>
            </w:r>
            <w:proofErr w:type="spellEnd"/>
            <w:r w:rsidRPr="00457D41">
              <w:rPr>
                <w:bCs/>
                <w:color w:val="auto"/>
              </w:rPr>
              <w:t xml:space="preserve"> </w:t>
            </w:r>
            <w:proofErr w:type="spellStart"/>
            <w:r w:rsidRPr="00457D41">
              <w:rPr>
                <w:bCs/>
                <w:color w:val="auto"/>
              </w:rPr>
              <w:t>Замовнику</w:t>
            </w:r>
            <w:proofErr w:type="spellEnd"/>
            <w:r w:rsidRPr="00457D41">
              <w:rPr>
                <w:bCs/>
                <w:color w:val="auto"/>
              </w:rPr>
              <w:t xml:space="preserve"> </w:t>
            </w:r>
            <w:proofErr w:type="gramStart"/>
            <w:r w:rsidRPr="00457D41">
              <w:rPr>
                <w:bCs/>
                <w:color w:val="auto"/>
              </w:rPr>
              <w:t>по</w:t>
            </w:r>
            <w:proofErr w:type="gramEnd"/>
            <w:r w:rsidRPr="00457D41">
              <w:rPr>
                <w:bCs/>
                <w:color w:val="auto"/>
              </w:rPr>
              <w:t xml:space="preserve"> </w:t>
            </w:r>
            <w:proofErr w:type="spellStart"/>
            <w:r w:rsidRPr="00457D41">
              <w:rPr>
                <w:bCs/>
                <w:color w:val="auto"/>
              </w:rPr>
              <w:t>кількості</w:t>
            </w:r>
            <w:proofErr w:type="spellEnd"/>
            <w:r w:rsidRPr="00457D41">
              <w:rPr>
                <w:bCs/>
                <w:color w:val="auto"/>
              </w:rPr>
              <w:t xml:space="preserve">, </w:t>
            </w:r>
            <w:proofErr w:type="spellStart"/>
            <w:proofErr w:type="gramStart"/>
            <w:r w:rsidRPr="00457D41">
              <w:rPr>
                <w:bCs/>
                <w:color w:val="auto"/>
              </w:rPr>
              <w:t>номенклатур</w:t>
            </w:r>
            <w:proofErr w:type="gramEnd"/>
            <w:r w:rsidRPr="00457D41">
              <w:rPr>
                <w:bCs/>
                <w:color w:val="auto"/>
              </w:rPr>
              <w:t>і</w:t>
            </w:r>
            <w:proofErr w:type="spellEnd"/>
            <w:r w:rsidRPr="00457D41">
              <w:rPr>
                <w:bCs/>
                <w:color w:val="auto"/>
              </w:rPr>
              <w:t xml:space="preserve"> та за </w:t>
            </w:r>
            <w:proofErr w:type="spellStart"/>
            <w:r w:rsidRPr="00457D41">
              <w:rPr>
                <w:bCs/>
                <w:color w:val="auto"/>
              </w:rPr>
              <w:t>ціною</w:t>
            </w:r>
            <w:proofErr w:type="spellEnd"/>
            <w:r w:rsidRPr="00457D41">
              <w:rPr>
                <w:bCs/>
                <w:color w:val="auto"/>
              </w:rPr>
              <w:t xml:space="preserve">, </w:t>
            </w:r>
            <w:proofErr w:type="spellStart"/>
            <w:r w:rsidRPr="00457D41">
              <w:rPr>
                <w:bCs/>
                <w:color w:val="auto"/>
              </w:rPr>
              <w:t>що</w:t>
            </w:r>
            <w:proofErr w:type="spellEnd"/>
            <w:r w:rsidRPr="00457D41">
              <w:rPr>
                <w:bCs/>
                <w:color w:val="auto"/>
              </w:rPr>
              <w:t xml:space="preserve"> </w:t>
            </w:r>
            <w:proofErr w:type="spellStart"/>
            <w:r w:rsidRPr="00457D41">
              <w:rPr>
                <w:bCs/>
                <w:color w:val="auto"/>
              </w:rPr>
              <w:t>визначається</w:t>
            </w:r>
            <w:proofErr w:type="spellEnd"/>
            <w:r w:rsidRPr="00457D41">
              <w:rPr>
                <w:bCs/>
                <w:color w:val="auto"/>
              </w:rPr>
              <w:t xml:space="preserve"> в </w:t>
            </w:r>
            <w:proofErr w:type="spellStart"/>
            <w:r w:rsidRPr="00457D41">
              <w:rPr>
                <w:bCs/>
                <w:color w:val="auto"/>
              </w:rPr>
              <w:t>специфікації</w:t>
            </w:r>
            <w:proofErr w:type="spellEnd"/>
            <w:r w:rsidRPr="00457D41">
              <w:rPr>
                <w:bCs/>
                <w:color w:val="auto"/>
              </w:rPr>
              <w:t xml:space="preserve"> до </w:t>
            </w:r>
            <w:proofErr w:type="spellStart"/>
            <w:r w:rsidRPr="00457D41">
              <w:rPr>
                <w:bCs/>
                <w:color w:val="auto"/>
              </w:rPr>
              <w:t>укладеного</w:t>
            </w:r>
            <w:proofErr w:type="spellEnd"/>
            <w:r w:rsidRPr="00457D41">
              <w:rPr>
                <w:bCs/>
                <w:color w:val="auto"/>
              </w:rPr>
              <w:t xml:space="preserve"> Договору за результатами </w:t>
            </w:r>
            <w:proofErr w:type="spellStart"/>
            <w:r w:rsidRPr="00457D41">
              <w:rPr>
                <w:bCs/>
                <w:color w:val="auto"/>
              </w:rPr>
              <w:t>проведених</w:t>
            </w:r>
            <w:proofErr w:type="spellEnd"/>
            <w:r w:rsidRPr="00457D41">
              <w:rPr>
                <w:bCs/>
                <w:color w:val="auto"/>
              </w:rPr>
              <w:t xml:space="preserve"> </w:t>
            </w:r>
            <w:proofErr w:type="spellStart"/>
            <w:r w:rsidRPr="00457D41">
              <w:rPr>
                <w:bCs/>
                <w:color w:val="auto"/>
              </w:rPr>
              <w:t>торгів</w:t>
            </w:r>
            <w:proofErr w:type="spellEnd"/>
            <w:r w:rsidRPr="00457D41">
              <w:rPr>
                <w:bCs/>
                <w:color w:val="auto"/>
              </w:rPr>
              <w:t xml:space="preserve">, у </w:t>
            </w:r>
            <w:r w:rsidRPr="00457D41">
              <w:rPr>
                <w:bCs/>
                <w:color w:val="auto"/>
                <w:u w:val="single"/>
              </w:rPr>
              <w:t xml:space="preserve">строки не </w:t>
            </w:r>
            <w:proofErr w:type="spellStart"/>
            <w:r w:rsidRPr="00457D41">
              <w:rPr>
                <w:bCs/>
                <w:color w:val="auto"/>
                <w:u w:val="single"/>
              </w:rPr>
              <w:t>більше</w:t>
            </w:r>
            <w:proofErr w:type="spellEnd"/>
            <w:r w:rsidRPr="00457D41">
              <w:rPr>
                <w:bCs/>
                <w:color w:val="auto"/>
                <w:u w:val="single"/>
              </w:rPr>
              <w:t xml:space="preserve"> одного </w:t>
            </w:r>
            <w:proofErr w:type="spellStart"/>
            <w:r w:rsidRPr="00457D41">
              <w:rPr>
                <w:bCs/>
                <w:color w:val="auto"/>
                <w:u w:val="single"/>
              </w:rPr>
              <w:t>робочого</w:t>
            </w:r>
            <w:proofErr w:type="spellEnd"/>
            <w:r w:rsidRPr="00457D41">
              <w:rPr>
                <w:bCs/>
                <w:color w:val="auto"/>
                <w:u w:val="single"/>
              </w:rPr>
              <w:t xml:space="preserve"> дня з моменту </w:t>
            </w:r>
            <w:proofErr w:type="spellStart"/>
            <w:r w:rsidRPr="00457D41">
              <w:rPr>
                <w:bCs/>
                <w:color w:val="auto"/>
                <w:u w:val="single"/>
              </w:rPr>
              <w:t>отримання</w:t>
            </w:r>
            <w:proofErr w:type="spellEnd"/>
            <w:r w:rsidRPr="00457D41">
              <w:rPr>
                <w:bCs/>
                <w:color w:val="auto"/>
                <w:u w:val="single"/>
              </w:rPr>
              <w:t xml:space="preserve"> </w:t>
            </w:r>
            <w:proofErr w:type="spellStart"/>
            <w:r w:rsidRPr="00457D41">
              <w:rPr>
                <w:bCs/>
                <w:color w:val="auto"/>
                <w:u w:val="single"/>
              </w:rPr>
              <w:t>Учасником</w:t>
            </w:r>
            <w:proofErr w:type="spellEnd"/>
            <w:r w:rsidRPr="00457D41">
              <w:rPr>
                <w:bCs/>
                <w:color w:val="auto"/>
                <w:u w:val="single"/>
              </w:rPr>
              <w:t xml:space="preserve"> заявки </w:t>
            </w:r>
            <w:proofErr w:type="spellStart"/>
            <w:r w:rsidRPr="00457D41">
              <w:rPr>
                <w:bCs/>
                <w:color w:val="auto"/>
                <w:u w:val="single"/>
              </w:rPr>
              <w:t>від</w:t>
            </w:r>
            <w:proofErr w:type="spellEnd"/>
            <w:r w:rsidRPr="00457D41">
              <w:rPr>
                <w:bCs/>
                <w:color w:val="auto"/>
                <w:u w:val="single"/>
              </w:rPr>
              <w:t xml:space="preserve"> </w:t>
            </w:r>
            <w:proofErr w:type="spellStart"/>
            <w:r w:rsidRPr="00457D41">
              <w:rPr>
                <w:bCs/>
                <w:color w:val="auto"/>
                <w:u w:val="single"/>
              </w:rPr>
              <w:t>Замовника</w:t>
            </w:r>
            <w:proofErr w:type="spellEnd"/>
            <w:r w:rsidRPr="00457D41">
              <w:rPr>
                <w:bCs/>
                <w:color w:val="auto"/>
                <w:u w:val="single"/>
              </w:rPr>
              <w:t>.</w:t>
            </w:r>
          </w:p>
        </w:tc>
        <w:tc>
          <w:tcPr>
            <w:tcW w:w="2286"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center"/>
              <w:rPr>
                <w:bCs/>
                <w:color w:val="auto"/>
              </w:rPr>
            </w:pPr>
            <w:proofErr w:type="spellStart"/>
            <w:proofErr w:type="gramStart"/>
            <w:r w:rsidRPr="00457D41">
              <w:rPr>
                <w:bCs/>
                <w:color w:val="auto"/>
              </w:rPr>
              <w:t>П</w:t>
            </w:r>
            <w:proofErr w:type="gramEnd"/>
            <w:r w:rsidRPr="00457D41">
              <w:rPr>
                <w:bCs/>
                <w:color w:val="auto"/>
              </w:rPr>
              <w:t>ідтвердження</w:t>
            </w:r>
            <w:proofErr w:type="spellEnd"/>
          </w:p>
        </w:tc>
      </w:tr>
      <w:tr w:rsidR="00457D41" w:rsidRPr="00457D41" w:rsidTr="007C2D6F">
        <w:trPr>
          <w:trHeight w:val="451"/>
        </w:trPr>
        <w:tc>
          <w:tcPr>
            <w:tcW w:w="8100"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both"/>
              <w:rPr>
                <w:color w:val="auto"/>
              </w:rPr>
            </w:pPr>
            <w:proofErr w:type="spellStart"/>
            <w:r w:rsidRPr="00457D41">
              <w:rPr>
                <w:color w:val="auto"/>
              </w:rPr>
              <w:t>Місце</w:t>
            </w:r>
            <w:proofErr w:type="spellEnd"/>
            <w:r w:rsidRPr="00457D41">
              <w:rPr>
                <w:color w:val="auto"/>
              </w:rPr>
              <w:t xml:space="preserve"> </w:t>
            </w:r>
            <w:proofErr w:type="spellStart"/>
            <w:r w:rsidRPr="00457D41">
              <w:rPr>
                <w:color w:val="auto"/>
              </w:rPr>
              <w:t>надання</w:t>
            </w:r>
            <w:proofErr w:type="spellEnd"/>
            <w:r w:rsidRPr="00457D41">
              <w:rPr>
                <w:color w:val="auto"/>
              </w:rPr>
              <w:t xml:space="preserve"> </w:t>
            </w:r>
            <w:proofErr w:type="spellStart"/>
            <w:r w:rsidRPr="00457D41">
              <w:rPr>
                <w:color w:val="auto"/>
              </w:rPr>
              <w:t>послуг</w:t>
            </w:r>
            <w:proofErr w:type="spellEnd"/>
            <w:r w:rsidRPr="00457D41">
              <w:rPr>
                <w:color w:val="auto"/>
              </w:rPr>
              <w:t>:</w:t>
            </w:r>
            <w:r w:rsidRPr="00457D41">
              <w:rPr>
                <w:b/>
                <w:color w:val="auto"/>
              </w:rPr>
              <w:t xml:space="preserve"> </w:t>
            </w:r>
            <w:proofErr w:type="spellStart"/>
            <w:r w:rsidRPr="00457D41">
              <w:rPr>
                <w:color w:val="auto"/>
              </w:rPr>
              <w:t>вулично-шляхова</w:t>
            </w:r>
            <w:proofErr w:type="spellEnd"/>
            <w:r w:rsidRPr="00457D41">
              <w:rPr>
                <w:color w:val="auto"/>
              </w:rPr>
              <w:t xml:space="preserve"> мережа</w:t>
            </w:r>
            <w:r w:rsidRPr="00457D41">
              <w:rPr>
                <w:b/>
                <w:color w:val="auto"/>
              </w:rPr>
              <w:t xml:space="preserve"> </w:t>
            </w:r>
            <w:proofErr w:type="spellStart"/>
            <w:r w:rsidRPr="00457D41">
              <w:rPr>
                <w:color w:val="auto"/>
              </w:rPr>
              <w:t>Деснянського</w:t>
            </w:r>
            <w:proofErr w:type="spellEnd"/>
            <w:r w:rsidRPr="00457D41">
              <w:rPr>
                <w:color w:val="auto"/>
              </w:rPr>
              <w:t xml:space="preserve"> району         м. </w:t>
            </w:r>
            <w:proofErr w:type="spellStart"/>
            <w:r w:rsidRPr="00457D41">
              <w:rPr>
                <w:color w:val="auto"/>
              </w:rPr>
              <w:t>Києва</w:t>
            </w:r>
            <w:proofErr w:type="spellEnd"/>
            <w:r w:rsidRPr="00457D41">
              <w:rPr>
                <w:color w:val="auto"/>
              </w:rPr>
              <w:t xml:space="preserve">. </w:t>
            </w:r>
          </w:p>
        </w:tc>
        <w:tc>
          <w:tcPr>
            <w:tcW w:w="2286"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center"/>
              <w:rPr>
                <w:bCs/>
                <w:color w:val="auto"/>
              </w:rPr>
            </w:pPr>
            <w:proofErr w:type="spellStart"/>
            <w:proofErr w:type="gramStart"/>
            <w:r w:rsidRPr="00457D41">
              <w:rPr>
                <w:bCs/>
                <w:color w:val="auto"/>
              </w:rPr>
              <w:t>П</w:t>
            </w:r>
            <w:proofErr w:type="gramEnd"/>
            <w:r w:rsidRPr="00457D41">
              <w:rPr>
                <w:bCs/>
                <w:color w:val="auto"/>
              </w:rPr>
              <w:t>ідтвердження</w:t>
            </w:r>
            <w:proofErr w:type="spellEnd"/>
          </w:p>
        </w:tc>
      </w:tr>
      <w:tr w:rsidR="00457D41" w:rsidRPr="00457D41" w:rsidTr="007C2D6F">
        <w:trPr>
          <w:trHeight w:val="451"/>
        </w:trPr>
        <w:tc>
          <w:tcPr>
            <w:tcW w:w="8100"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both"/>
              <w:rPr>
                <w:color w:val="auto"/>
              </w:rPr>
            </w:pPr>
            <w:proofErr w:type="spellStart"/>
            <w:r w:rsidRPr="00457D41">
              <w:rPr>
                <w:rFonts w:eastAsia="Batang"/>
                <w:color w:val="auto"/>
                <w:lang w:eastAsia="ar-SA"/>
              </w:rPr>
              <w:t>Розрахунки</w:t>
            </w:r>
            <w:proofErr w:type="spellEnd"/>
            <w:r w:rsidRPr="00457D41">
              <w:rPr>
                <w:rFonts w:eastAsia="Batang"/>
                <w:color w:val="auto"/>
                <w:lang w:eastAsia="ar-SA"/>
              </w:rPr>
              <w:t xml:space="preserve"> </w:t>
            </w:r>
            <w:proofErr w:type="spellStart"/>
            <w:r w:rsidRPr="00457D41">
              <w:rPr>
                <w:rFonts w:eastAsia="Batang"/>
                <w:color w:val="auto"/>
                <w:lang w:eastAsia="ar-SA"/>
              </w:rPr>
              <w:t>проводяться</w:t>
            </w:r>
            <w:proofErr w:type="spellEnd"/>
            <w:r w:rsidRPr="00457D41">
              <w:rPr>
                <w:rFonts w:eastAsia="Batang"/>
                <w:color w:val="auto"/>
                <w:lang w:eastAsia="ar-SA"/>
              </w:rPr>
              <w:t xml:space="preserve"> шляхом </w:t>
            </w:r>
            <w:proofErr w:type="spellStart"/>
            <w:r w:rsidRPr="00457D41">
              <w:rPr>
                <w:rFonts w:eastAsia="Batang"/>
                <w:color w:val="auto"/>
                <w:lang w:eastAsia="ar-SA"/>
              </w:rPr>
              <w:t>перерахування</w:t>
            </w:r>
            <w:proofErr w:type="spellEnd"/>
            <w:r w:rsidRPr="00457D41">
              <w:rPr>
                <w:rFonts w:eastAsia="Batang"/>
                <w:color w:val="auto"/>
                <w:lang w:eastAsia="ar-SA"/>
              </w:rPr>
              <w:t xml:space="preserve"> </w:t>
            </w:r>
            <w:proofErr w:type="spellStart"/>
            <w:r w:rsidRPr="00457D41">
              <w:rPr>
                <w:rFonts w:eastAsia="Batang"/>
                <w:color w:val="auto"/>
                <w:lang w:eastAsia="ar-SA"/>
              </w:rPr>
              <w:t>Замовником</w:t>
            </w:r>
            <w:proofErr w:type="spellEnd"/>
            <w:r w:rsidRPr="00457D41">
              <w:rPr>
                <w:rFonts w:eastAsia="Batang"/>
                <w:color w:val="auto"/>
                <w:lang w:eastAsia="ar-SA"/>
              </w:rPr>
              <w:t xml:space="preserve"> </w:t>
            </w:r>
            <w:proofErr w:type="spellStart"/>
            <w:r w:rsidRPr="00457D41">
              <w:rPr>
                <w:rFonts w:eastAsia="Batang"/>
                <w:color w:val="auto"/>
                <w:lang w:eastAsia="ar-SA"/>
              </w:rPr>
              <w:t>коштів</w:t>
            </w:r>
            <w:proofErr w:type="spellEnd"/>
            <w:r w:rsidRPr="00457D41">
              <w:rPr>
                <w:rFonts w:eastAsia="Batang"/>
                <w:color w:val="auto"/>
                <w:lang w:eastAsia="ar-SA"/>
              </w:rPr>
              <w:t xml:space="preserve"> на </w:t>
            </w:r>
            <w:proofErr w:type="spellStart"/>
            <w:r w:rsidRPr="00457D41">
              <w:rPr>
                <w:rFonts w:eastAsia="Batang"/>
                <w:color w:val="auto"/>
                <w:lang w:eastAsia="ar-SA"/>
              </w:rPr>
              <w:t>розрахунковий</w:t>
            </w:r>
            <w:proofErr w:type="spellEnd"/>
            <w:r w:rsidRPr="00457D41">
              <w:rPr>
                <w:rFonts w:eastAsia="Batang"/>
                <w:color w:val="auto"/>
                <w:lang w:eastAsia="ar-SA"/>
              </w:rPr>
              <w:t xml:space="preserve"> </w:t>
            </w:r>
            <w:proofErr w:type="spellStart"/>
            <w:r w:rsidRPr="00457D41">
              <w:rPr>
                <w:rFonts w:eastAsia="Batang"/>
                <w:color w:val="auto"/>
                <w:lang w:eastAsia="ar-SA"/>
              </w:rPr>
              <w:t>рахунок</w:t>
            </w:r>
            <w:proofErr w:type="spellEnd"/>
            <w:r w:rsidRPr="00457D41">
              <w:rPr>
                <w:rFonts w:eastAsia="Batang"/>
                <w:color w:val="auto"/>
                <w:lang w:eastAsia="ar-SA"/>
              </w:rPr>
              <w:t xml:space="preserve"> </w:t>
            </w:r>
            <w:proofErr w:type="spellStart"/>
            <w:r w:rsidRPr="00457D41">
              <w:rPr>
                <w:rFonts w:eastAsia="Batang"/>
                <w:color w:val="auto"/>
                <w:lang w:eastAsia="ar-SA"/>
              </w:rPr>
              <w:t>Переможця</w:t>
            </w:r>
            <w:proofErr w:type="spellEnd"/>
            <w:r w:rsidRPr="00457D41">
              <w:rPr>
                <w:rFonts w:eastAsia="Batang"/>
                <w:color w:val="auto"/>
                <w:lang w:eastAsia="ar-SA"/>
              </w:rPr>
              <w:t xml:space="preserve"> </w:t>
            </w:r>
            <w:proofErr w:type="spellStart"/>
            <w:proofErr w:type="gramStart"/>
            <w:r w:rsidRPr="00457D41">
              <w:rPr>
                <w:rFonts w:eastAsia="Batang"/>
                <w:color w:val="auto"/>
                <w:lang w:eastAsia="ar-SA"/>
              </w:rPr>
              <w:t>п</w:t>
            </w:r>
            <w:proofErr w:type="gramEnd"/>
            <w:r w:rsidRPr="00457D41">
              <w:rPr>
                <w:rFonts w:eastAsia="Batang"/>
                <w:color w:val="auto"/>
                <w:lang w:eastAsia="ar-SA"/>
              </w:rPr>
              <w:t>ісля</w:t>
            </w:r>
            <w:proofErr w:type="spellEnd"/>
            <w:r w:rsidRPr="00457D41">
              <w:rPr>
                <w:rFonts w:eastAsia="Batang"/>
                <w:color w:val="auto"/>
                <w:lang w:eastAsia="ar-SA"/>
              </w:rPr>
              <w:t xml:space="preserve"> </w:t>
            </w:r>
            <w:proofErr w:type="spellStart"/>
            <w:r w:rsidRPr="00457D41">
              <w:rPr>
                <w:rFonts w:eastAsia="Batang"/>
                <w:color w:val="auto"/>
                <w:lang w:eastAsia="ar-SA"/>
              </w:rPr>
              <w:t>надання</w:t>
            </w:r>
            <w:proofErr w:type="spellEnd"/>
            <w:r w:rsidRPr="00457D41">
              <w:rPr>
                <w:rFonts w:eastAsia="Batang"/>
                <w:color w:val="auto"/>
                <w:lang w:eastAsia="ar-SA"/>
              </w:rPr>
              <w:t xml:space="preserve"> </w:t>
            </w:r>
            <w:proofErr w:type="spellStart"/>
            <w:r w:rsidRPr="00457D41">
              <w:rPr>
                <w:rFonts w:eastAsia="Batang"/>
                <w:color w:val="auto"/>
                <w:lang w:eastAsia="ar-SA"/>
              </w:rPr>
              <w:t>послуг</w:t>
            </w:r>
            <w:proofErr w:type="spellEnd"/>
            <w:r w:rsidRPr="00457D41">
              <w:rPr>
                <w:rFonts w:eastAsia="Batang"/>
                <w:color w:val="auto"/>
                <w:lang w:eastAsia="ar-SA"/>
              </w:rPr>
              <w:t xml:space="preserve">, на </w:t>
            </w:r>
            <w:proofErr w:type="spellStart"/>
            <w:r w:rsidRPr="00457D41">
              <w:rPr>
                <w:rFonts w:eastAsia="Batang"/>
                <w:color w:val="auto"/>
                <w:lang w:eastAsia="ar-SA"/>
              </w:rPr>
              <w:t>підставі</w:t>
            </w:r>
            <w:proofErr w:type="spellEnd"/>
            <w:r w:rsidRPr="00457D41">
              <w:rPr>
                <w:rFonts w:eastAsia="Batang"/>
                <w:color w:val="auto"/>
                <w:lang w:eastAsia="ar-SA"/>
              </w:rPr>
              <w:t xml:space="preserve"> </w:t>
            </w:r>
            <w:proofErr w:type="spellStart"/>
            <w:r w:rsidRPr="00457D41">
              <w:rPr>
                <w:rFonts w:eastAsia="Batang"/>
                <w:color w:val="auto"/>
                <w:lang w:eastAsia="ar-SA"/>
              </w:rPr>
              <w:t>актів</w:t>
            </w:r>
            <w:proofErr w:type="spellEnd"/>
            <w:r w:rsidRPr="00457D41">
              <w:rPr>
                <w:rFonts w:eastAsia="Batang"/>
                <w:color w:val="auto"/>
                <w:lang w:eastAsia="ar-SA"/>
              </w:rPr>
              <w:t xml:space="preserve"> </w:t>
            </w:r>
            <w:proofErr w:type="spellStart"/>
            <w:r w:rsidRPr="00457D41">
              <w:rPr>
                <w:rFonts w:eastAsia="Batang"/>
                <w:color w:val="auto"/>
                <w:lang w:eastAsia="ar-SA"/>
              </w:rPr>
              <w:t>виконаних</w:t>
            </w:r>
            <w:proofErr w:type="spellEnd"/>
            <w:r w:rsidRPr="00457D41">
              <w:rPr>
                <w:rFonts w:eastAsia="Batang"/>
                <w:color w:val="auto"/>
                <w:lang w:eastAsia="ar-SA"/>
              </w:rPr>
              <w:t xml:space="preserve"> </w:t>
            </w:r>
            <w:proofErr w:type="spellStart"/>
            <w:r w:rsidRPr="00457D41">
              <w:rPr>
                <w:rFonts w:eastAsia="Batang"/>
                <w:color w:val="auto"/>
                <w:lang w:eastAsia="ar-SA"/>
              </w:rPr>
              <w:t>робіт</w:t>
            </w:r>
            <w:proofErr w:type="spellEnd"/>
            <w:r w:rsidRPr="00457D41">
              <w:rPr>
                <w:rFonts w:eastAsia="Batang"/>
                <w:color w:val="auto"/>
                <w:lang w:eastAsia="ar-SA"/>
              </w:rPr>
              <w:t>.</w:t>
            </w:r>
          </w:p>
        </w:tc>
        <w:tc>
          <w:tcPr>
            <w:tcW w:w="2286"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center"/>
              <w:rPr>
                <w:bCs/>
                <w:color w:val="auto"/>
              </w:rPr>
            </w:pPr>
            <w:proofErr w:type="spellStart"/>
            <w:proofErr w:type="gramStart"/>
            <w:r w:rsidRPr="00457D41">
              <w:rPr>
                <w:bCs/>
                <w:color w:val="auto"/>
              </w:rPr>
              <w:t>П</w:t>
            </w:r>
            <w:proofErr w:type="gramEnd"/>
            <w:r w:rsidRPr="00457D41">
              <w:rPr>
                <w:bCs/>
                <w:color w:val="auto"/>
              </w:rPr>
              <w:t>ідтвердження</w:t>
            </w:r>
            <w:proofErr w:type="spellEnd"/>
          </w:p>
        </w:tc>
      </w:tr>
      <w:tr w:rsidR="00457D41" w:rsidRPr="00457D41" w:rsidTr="007C2D6F">
        <w:trPr>
          <w:trHeight w:val="451"/>
        </w:trPr>
        <w:tc>
          <w:tcPr>
            <w:tcW w:w="8100"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both"/>
              <w:rPr>
                <w:bCs/>
                <w:color w:val="auto"/>
                <w:lang w:val="uk-UA"/>
              </w:rPr>
            </w:pPr>
            <w:r w:rsidRPr="00457D41">
              <w:rPr>
                <w:bCs/>
                <w:color w:val="auto"/>
                <w:lang w:val="uk-UA"/>
              </w:rPr>
              <w:t>Учасник розраховує ціну своєї пропозиції за ціною заливки 1 м</w:t>
            </w:r>
            <w:r w:rsidRPr="00457D41">
              <w:rPr>
                <w:bCs/>
                <w:color w:val="auto"/>
                <w:vertAlign w:val="superscript"/>
                <w:lang w:val="uk-UA"/>
              </w:rPr>
              <w:t>2</w:t>
            </w:r>
            <w:r w:rsidRPr="00457D41">
              <w:rPr>
                <w:bCs/>
                <w:color w:val="auto"/>
                <w:lang w:val="uk-UA"/>
              </w:rPr>
              <w:t xml:space="preserve"> у відповідності до глибини, включаючи вартість паливно-мастильних матеріалів, послуг водія і одного працівника,</w:t>
            </w:r>
            <w:r w:rsidRPr="00457D41">
              <w:rPr>
                <w:rFonts w:ascii="Calibri" w:eastAsia="Calibri" w:hAnsi="Calibri" w:cs="Calibri"/>
                <w:color w:val="auto"/>
                <w:sz w:val="22"/>
                <w:szCs w:val="22"/>
                <w:lang w:val="uk-UA" w:eastAsia="uk-UA"/>
              </w:rPr>
              <w:t xml:space="preserve"> </w:t>
            </w:r>
            <w:r w:rsidRPr="00457D41">
              <w:rPr>
                <w:bCs/>
                <w:color w:val="auto"/>
                <w:lang w:val="uk-UA"/>
              </w:rPr>
              <w:t>які мають право на керування такою технікою (працівники мають бути атестовані та мати відповідні документи), доставки установки в технічно справному стані для використання її у виробничій діяльності на об’єктах Замовника та з урахуванням вартості бітумної емульсії та щебеню. Матеріали (емульсія, щебінь), які буде використовувати Учасник відповідають діючим ДСТУ, якість яких підтверджується сертифікатами відповідності.</w:t>
            </w:r>
            <w:r w:rsidRPr="00457D41">
              <w:rPr>
                <w:rFonts w:ascii="Calibri" w:eastAsia="Calibri" w:hAnsi="Calibri" w:cs="Calibri"/>
                <w:color w:val="auto"/>
                <w:sz w:val="22"/>
                <w:szCs w:val="22"/>
                <w:lang w:val="uk-UA" w:eastAsia="uk-UA"/>
              </w:rPr>
              <w:t xml:space="preserve"> </w:t>
            </w:r>
            <w:r w:rsidRPr="00457D41">
              <w:rPr>
                <w:bCs/>
                <w:color w:val="auto"/>
                <w:lang w:val="uk-UA"/>
              </w:rPr>
              <w:t>Учасник у період виконання робіт обов’язково повинен мати в наявності паспорти, що видаються виробником продукції.</w:t>
            </w:r>
          </w:p>
          <w:p w:rsidR="00457D41" w:rsidRPr="00457D41" w:rsidRDefault="00457D41" w:rsidP="00457D41">
            <w:pPr>
              <w:jc w:val="both"/>
              <w:rPr>
                <w:bCs/>
                <w:color w:val="auto"/>
                <w:lang w:val="uk-UA"/>
              </w:rPr>
            </w:pPr>
            <w:r w:rsidRPr="00457D41">
              <w:rPr>
                <w:color w:val="auto"/>
                <w:lang w:val="uk-UA" w:eastAsia="en-GB"/>
              </w:rPr>
              <w:t>Обслуговування та ремонт техніки у разі потреби забезпечується Учасником.</w:t>
            </w:r>
          </w:p>
        </w:tc>
        <w:tc>
          <w:tcPr>
            <w:tcW w:w="2286"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center"/>
              <w:rPr>
                <w:b/>
                <w:bCs/>
                <w:strike/>
                <w:color w:val="auto"/>
              </w:rPr>
            </w:pPr>
            <w:proofErr w:type="spellStart"/>
            <w:proofErr w:type="gramStart"/>
            <w:r w:rsidRPr="00457D41">
              <w:rPr>
                <w:bCs/>
                <w:color w:val="auto"/>
              </w:rPr>
              <w:t>П</w:t>
            </w:r>
            <w:proofErr w:type="gramEnd"/>
            <w:r w:rsidRPr="00457D41">
              <w:rPr>
                <w:bCs/>
                <w:color w:val="auto"/>
              </w:rPr>
              <w:t>ідтвердження</w:t>
            </w:r>
            <w:proofErr w:type="spellEnd"/>
          </w:p>
        </w:tc>
      </w:tr>
      <w:tr w:rsidR="00457D41" w:rsidRPr="00457D41" w:rsidTr="007C2D6F">
        <w:trPr>
          <w:trHeight w:val="260"/>
        </w:trPr>
        <w:tc>
          <w:tcPr>
            <w:tcW w:w="8100" w:type="dxa"/>
            <w:tcBorders>
              <w:top w:val="single" w:sz="4" w:space="0" w:color="auto"/>
              <w:left w:val="single" w:sz="4" w:space="0" w:color="auto"/>
              <w:bottom w:val="single" w:sz="4" w:space="0" w:color="auto"/>
              <w:right w:val="single" w:sz="4" w:space="0" w:color="auto"/>
            </w:tcBorders>
          </w:tcPr>
          <w:p w:rsidR="00457D41" w:rsidRPr="00457D41" w:rsidRDefault="00457D41" w:rsidP="00457D41">
            <w:pPr>
              <w:jc w:val="center"/>
              <w:rPr>
                <w:b/>
                <w:i/>
                <w:iCs/>
                <w:color w:val="auto"/>
              </w:rPr>
            </w:pPr>
            <w:r w:rsidRPr="00457D41">
              <w:rPr>
                <w:b/>
                <w:i/>
                <w:iCs/>
                <w:color w:val="auto"/>
              </w:rPr>
              <w:t xml:space="preserve">2. </w:t>
            </w:r>
            <w:proofErr w:type="spellStart"/>
            <w:proofErr w:type="gramStart"/>
            <w:r w:rsidRPr="00457D41">
              <w:rPr>
                <w:b/>
                <w:i/>
                <w:iCs/>
                <w:color w:val="auto"/>
              </w:rPr>
              <w:t>Техн</w:t>
            </w:r>
            <w:proofErr w:type="gramEnd"/>
            <w:r w:rsidRPr="00457D41">
              <w:rPr>
                <w:b/>
                <w:i/>
                <w:iCs/>
                <w:color w:val="auto"/>
              </w:rPr>
              <w:t>ічні</w:t>
            </w:r>
            <w:proofErr w:type="spellEnd"/>
            <w:r w:rsidRPr="00457D41">
              <w:rPr>
                <w:b/>
                <w:i/>
                <w:iCs/>
                <w:color w:val="auto"/>
              </w:rPr>
              <w:t xml:space="preserve"> </w:t>
            </w:r>
            <w:proofErr w:type="spellStart"/>
            <w:r w:rsidRPr="00457D41">
              <w:rPr>
                <w:b/>
                <w:i/>
                <w:iCs/>
                <w:color w:val="auto"/>
              </w:rPr>
              <w:t>положення</w:t>
            </w:r>
            <w:proofErr w:type="spellEnd"/>
          </w:p>
        </w:tc>
        <w:tc>
          <w:tcPr>
            <w:tcW w:w="2286" w:type="dxa"/>
            <w:tcBorders>
              <w:top w:val="single" w:sz="4" w:space="0" w:color="auto"/>
              <w:left w:val="single" w:sz="4" w:space="0" w:color="auto"/>
              <w:bottom w:val="single" w:sz="4" w:space="0" w:color="auto"/>
              <w:right w:val="single" w:sz="4" w:space="0" w:color="auto"/>
            </w:tcBorders>
          </w:tcPr>
          <w:p w:rsidR="00457D41" w:rsidRPr="00457D41" w:rsidRDefault="00457D41" w:rsidP="00457D41">
            <w:pPr>
              <w:jc w:val="center"/>
              <w:rPr>
                <w:b/>
                <w:bCs/>
                <w:color w:val="auto"/>
              </w:rPr>
            </w:pPr>
          </w:p>
        </w:tc>
      </w:tr>
      <w:tr w:rsidR="00457D41" w:rsidRPr="00457D41" w:rsidTr="007C2D6F">
        <w:trPr>
          <w:trHeight w:val="274"/>
        </w:trPr>
        <w:tc>
          <w:tcPr>
            <w:tcW w:w="8100" w:type="dxa"/>
            <w:tcBorders>
              <w:top w:val="single" w:sz="4" w:space="0" w:color="auto"/>
              <w:left w:val="single" w:sz="4" w:space="0" w:color="auto"/>
              <w:right w:val="single" w:sz="4" w:space="0" w:color="auto"/>
            </w:tcBorders>
            <w:hideMark/>
          </w:tcPr>
          <w:p w:rsidR="00457D41" w:rsidRPr="00457D41" w:rsidRDefault="00457D41" w:rsidP="00457D41">
            <w:pPr>
              <w:jc w:val="both"/>
              <w:rPr>
                <w:rFonts w:eastAsia="Calibri"/>
                <w:bCs/>
                <w:color w:val="auto"/>
                <w:lang w:val="uk-UA" w:eastAsia="uk-UA"/>
              </w:rPr>
            </w:pPr>
            <w:r w:rsidRPr="00457D41">
              <w:rPr>
                <w:rFonts w:eastAsia="Calibri"/>
                <w:bCs/>
                <w:color w:val="auto"/>
                <w:lang w:val="uk-UA" w:eastAsia="uk-UA"/>
              </w:rPr>
              <w:t xml:space="preserve">Послуги надаються з використанням машини для ліквідації вибоїн – </w:t>
            </w:r>
            <w:r w:rsidRPr="00457D41">
              <w:rPr>
                <w:rFonts w:eastAsia="Calibri"/>
                <w:bCs/>
                <w:color w:val="auto"/>
                <w:u w:val="single"/>
                <w:lang w:val="uk-UA" w:eastAsia="uk-UA"/>
              </w:rPr>
              <w:t>не менше 2 (двох одиниць)</w:t>
            </w:r>
            <w:r w:rsidRPr="00457D41">
              <w:rPr>
                <w:rFonts w:eastAsia="Calibri"/>
                <w:bCs/>
                <w:color w:val="auto"/>
                <w:lang w:val="uk-UA" w:eastAsia="uk-UA"/>
              </w:rPr>
              <w:t>.</w:t>
            </w:r>
          </w:p>
          <w:p w:rsidR="00457D41" w:rsidRPr="00457D41" w:rsidRDefault="00457D41" w:rsidP="00457D41">
            <w:pPr>
              <w:jc w:val="both"/>
              <w:rPr>
                <w:color w:val="auto"/>
                <w:lang w:val="uk-UA"/>
              </w:rPr>
            </w:pPr>
            <w:r w:rsidRPr="00457D41">
              <w:rPr>
                <w:color w:val="auto"/>
                <w:lang w:val="uk-UA"/>
              </w:rPr>
              <w:t>Транспортні засоби, які надають послуги, повинні мати справний технічний стан і відповідати всім вимогам для використання їх в роботі.</w:t>
            </w:r>
          </w:p>
          <w:p w:rsidR="00457D41" w:rsidRPr="00457D41" w:rsidRDefault="00457D41" w:rsidP="00457D41">
            <w:pPr>
              <w:jc w:val="both"/>
              <w:rPr>
                <w:color w:val="auto"/>
                <w:lang w:val="uk-UA"/>
              </w:rPr>
            </w:pPr>
            <w:r w:rsidRPr="00457D41">
              <w:rPr>
                <w:color w:val="auto"/>
                <w:lang w:val="uk-UA"/>
              </w:rPr>
              <w:lastRenderedPageBreak/>
              <w:t xml:space="preserve">Під час ліквідації вибоїн машиною для ліквідації вибоїн </w:t>
            </w:r>
            <w:proofErr w:type="spellStart"/>
            <w:r w:rsidRPr="00457D41">
              <w:rPr>
                <w:color w:val="auto"/>
                <w:lang w:val="uk-UA"/>
              </w:rPr>
              <w:t>струменевим</w:t>
            </w:r>
            <w:proofErr w:type="spellEnd"/>
            <w:r w:rsidRPr="00457D41">
              <w:rPr>
                <w:color w:val="auto"/>
                <w:lang w:val="uk-UA"/>
              </w:rPr>
              <w:t xml:space="preserve"> методом при глибині ремонтної карти до 5 см роботи проводять у такій послідовності:</w:t>
            </w:r>
          </w:p>
          <w:p w:rsidR="00457D41" w:rsidRPr="00457D41" w:rsidRDefault="00457D41" w:rsidP="00457D41">
            <w:pPr>
              <w:jc w:val="both"/>
              <w:rPr>
                <w:color w:val="auto"/>
                <w:lang w:val="uk-UA"/>
              </w:rPr>
            </w:pPr>
            <w:r w:rsidRPr="00457D41">
              <w:rPr>
                <w:color w:val="auto"/>
                <w:lang w:val="uk-UA"/>
              </w:rPr>
              <w:t>а) встановлення, перенесення, зняття дорожнього тимчасового огородження;</w:t>
            </w:r>
          </w:p>
          <w:p w:rsidR="00457D41" w:rsidRPr="00457D41" w:rsidRDefault="00457D41" w:rsidP="00457D41">
            <w:pPr>
              <w:jc w:val="both"/>
              <w:rPr>
                <w:color w:val="auto"/>
                <w:lang w:val="uk-UA"/>
              </w:rPr>
            </w:pPr>
            <w:r w:rsidRPr="00457D41">
              <w:rPr>
                <w:color w:val="auto"/>
                <w:lang w:val="uk-UA"/>
              </w:rPr>
              <w:t>б) підготовка машини до роботи;</w:t>
            </w:r>
          </w:p>
          <w:p w:rsidR="00457D41" w:rsidRPr="00457D41" w:rsidRDefault="00457D41" w:rsidP="00457D41">
            <w:pPr>
              <w:jc w:val="both"/>
              <w:rPr>
                <w:color w:val="auto"/>
                <w:lang w:val="uk-UA"/>
              </w:rPr>
            </w:pPr>
            <w:r w:rsidRPr="00457D41">
              <w:rPr>
                <w:color w:val="auto"/>
                <w:lang w:val="uk-UA"/>
              </w:rPr>
              <w:t>в) очищення вибоїн стисненим повітрям;</w:t>
            </w:r>
          </w:p>
          <w:p w:rsidR="00457D41" w:rsidRPr="00457D41" w:rsidRDefault="00457D41" w:rsidP="00457D41">
            <w:pPr>
              <w:jc w:val="both"/>
              <w:rPr>
                <w:color w:val="auto"/>
                <w:lang w:val="uk-UA"/>
              </w:rPr>
            </w:pPr>
            <w:r w:rsidRPr="00457D41">
              <w:rPr>
                <w:color w:val="auto"/>
                <w:lang w:val="uk-UA"/>
              </w:rPr>
              <w:t>г) підґрунтовка вибоїн бітумною емульсією;</w:t>
            </w:r>
          </w:p>
          <w:p w:rsidR="00457D41" w:rsidRPr="00457D41" w:rsidRDefault="00457D41" w:rsidP="00457D41">
            <w:pPr>
              <w:jc w:val="both"/>
              <w:rPr>
                <w:color w:val="auto"/>
                <w:lang w:val="uk-UA"/>
              </w:rPr>
            </w:pPr>
            <w:r w:rsidRPr="00457D41">
              <w:rPr>
                <w:color w:val="auto"/>
                <w:lang w:val="uk-UA"/>
              </w:rPr>
              <w:t xml:space="preserve">д) заповнення вибоїн сумішшю щебеню </w:t>
            </w:r>
            <w:proofErr w:type="spellStart"/>
            <w:r w:rsidRPr="00457D41">
              <w:rPr>
                <w:color w:val="auto"/>
                <w:lang w:val="uk-UA"/>
              </w:rPr>
              <w:t>фр</w:t>
            </w:r>
            <w:proofErr w:type="spellEnd"/>
            <w:r w:rsidRPr="00457D41">
              <w:rPr>
                <w:color w:val="auto"/>
                <w:lang w:val="uk-UA"/>
              </w:rPr>
              <w:t>. 2-5 мм з бітумною емульсією;</w:t>
            </w:r>
          </w:p>
          <w:p w:rsidR="00457D41" w:rsidRPr="00457D41" w:rsidRDefault="00457D41" w:rsidP="00457D41">
            <w:pPr>
              <w:jc w:val="both"/>
              <w:rPr>
                <w:color w:val="auto"/>
                <w:lang w:val="uk-UA"/>
              </w:rPr>
            </w:pPr>
            <w:r w:rsidRPr="00457D41">
              <w:rPr>
                <w:color w:val="auto"/>
                <w:lang w:val="uk-UA"/>
              </w:rPr>
              <w:t>є) посипання поверхні щебенем необробленим в’яжучим.</w:t>
            </w:r>
          </w:p>
        </w:tc>
        <w:tc>
          <w:tcPr>
            <w:tcW w:w="2286" w:type="dxa"/>
            <w:tcBorders>
              <w:top w:val="single" w:sz="4" w:space="0" w:color="auto"/>
              <w:left w:val="single" w:sz="4" w:space="0" w:color="auto"/>
              <w:right w:val="single" w:sz="4" w:space="0" w:color="auto"/>
            </w:tcBorders>
            <w:hideMark/>
          </w:tcPr>
          <w:p w:rsidR="00457D41" w:rsidRPr="00457D41" w:rsidRDefault="00457D41" w:rsidP="00457D41">
            <w:pPr>
              <w:jc w:val="center"/>
              <w:rPr>
                <w:bCs/>
                <w:color w:val="auto"/>
              </w:rPr>
            </w:pPr>
            <w:proofErr w:type="spellStart"/>
            <w:proofErr w:type="gramStart"/>
            <w:r w:rsidRPr="00457D41">
              <w:rPr>
                <w:bCs/>
                <w:color w:val="auto"/>
              </w:rPr>
              <w:lastRenderedPageBreak/>
              <w:t>П</w:t>
            </w:r>
            <w:proofErr w:type="gramEnd"/>
            <w:r w:rsidRPr="00457D41">
              <w:rPr>
                <w:bCs/>
                <w:color w:val="auto"/>
              </w:rPr>
              <w:t>ідтвердження</w:t>
            </w:r>
            <w:proofErr w:type="spellEnd"/>
          </w:p>
        </w:tc>
      </w:tr>
      <w:tr w:rsidR="00457D41" w:rsidRPr="00457D41" w:rsidTr="007C2D6F">
        <w:trPr>
          <w:trHeight w:val="2264"/>
        </w:trPr>
        <w:tc>
          <w:tcPr>
            <w:tcW w:w="8100" w:type="dxa"/>
            <w:tcBorders>
              <w:top w:val="single" w:sz="4" w:space="0" w:color="auto"/>
              <w:left w:val="single" w:sz="4" w:space="0" w:color="auto"/>
              <w:right w:val="single" w:sz="4" w:space="0" w:color="auto"/>
            </w:tcBorders>
          </w:tcPr>
          <w:p w:rsidR="00457D41" w:rsidRPr="00457D41" w:rsidRDefault="00457D41" w:rsidP="00457D41">
            <w:pPr>
              <w:jc w:val="both"/>
              <w:rPr>
                <w:rFonts w:eastAsia="Calibri"/>
                <w:bCs/>
                <w:color w:val="auto"/>
                <w:lang w:val="uk-UA" w:eastAsia="uk-UA"/>
              </w:rPr>
            </w:pPr>
            <w:r w:rsidRPr="00457D41">
              <w:rPr>
                <w:rFonts w:eastAsia="Calibri"/>
                <w:bCs/>
                <w:color w:val="auto"/>
                <w:lang w:val="uk-UA" w:eastAsia="uk-UA"/>
              </w:rPr>
              <w:lastRenderedPageBreak/>
              <w:t xml:space="preserve">      Під час виконання робіт Замовник має право за участю Учасника проводити відбір проб та матеріалів, що використовуються зі складанням відповідного акту відбору та передачею відібраних зразків до незалежної державної дорожньої лабораторії. Учасник зобов’язується повністю сплачувати всі витрати, пов’язані з проведенням випробувань перевірки якісних характеристик використовуваних матеріалів, з подальшим наданням протоколів випробувань Замовнику. Відбір проб може відбуватися: на початку робіт / при зміні матеріалів постачальника / за вимогою Замовника.</w:t>
            </w:r>
          </w:p>
        </w:tc>
        <w:tc>
          <w:tcPr>
            <w:tcW w:w="2286" w:type="dxa"/>
            <w:tcBorders>
              <w:top w:val="single" w:sz="4" w:space="0" w:color="auto"/>
              <w:left w:val="single" w:sz="4" w:space="0" w:color="auto"/>
              <w:right w:val="single" w:sz="4" w:space="0" w:color="auto"/>
            </w:tcBorders>
          </w:tcPr>
          <w:p w:rsidR="00457D41" w:rsidRPr="00457D41" w:rsidRDefault="00457D41" w:rsidP="00457D41">
            <w:pPr>
              <w:jc w:val="center"/>
              <w:rPr>
                <w:bCs/>
                <w:color w:val="auto"/>
              </w:rPr>
            </w:pPr>
            <w:proofErr w:type="spellStart"/>
            <w:proofErr w:type="gramStart"/>
            <w:r w:rsidRPr="00457D41">
              <w:rPr>
                <w:bCs/>
                <w:color w:val="auto"/>
              </w:rPr>
              <w:t>П</w:t>
            </w:r>
            <w:proofErr w:type="gramEnd"/>
            <w:r w:rsidRPr="00457D41">
              <w:rPr>
                <w:bCs/>
                <w:color w:val="auto"/>
              </w:rPr>
              <w:t>ідтвердження</w:t>
            </w:r>
            <w:proofErr w:type="spellEnd"/>
          </w:p>
        </w:tc>
      </w:tr>
      <w:tr w:rsidR="00457D41" w:rsidRPr="00457D41" w:rsidTr="007C2D6F">
        <w:trPr>
          <w:trHeight w:val="349"/>
        </w:trPr>
        <w:tc>
          <w:tcPr>
            <w:tcW w:w="8100"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center"/>
              <w:rPr>
                <w:b/>
                <w:i/>
                <w:iCs/>
                <w:color w:val="auto"/>
              </w:rPr>
            </w:pPr>
            <w:r w:rsidRPr="00457D41">
              <w:rPr>
                <w:b/>
                <w:i/>
                <w:iCs/>
                <w:color w:val="auto"/>
              </w:rPr>
              <w:t xml:space="preserve">3. </w:t>
            </w:r>
            <w:proofErr w:type="spellStart"/>
            <w:r w:rsidRPr="00457D41">
              <w:rPr>
                <w:b/>
                <w:i/>
                <w:iCs/>
                <w:color w:val="auto"/>
              </w:rPr>
              <w:t>Організаційні</w:t>
            </w:r>
            <w:proofErr w:type="spellEnd"/>
            <w:r w:rsidRPr="00457D41">
              <w:rPr>
                <w:b/>
                <w:i/>
                <w:iCs/>
                <w:color w:val="auto"/>
              </w:rPr>
              <w:t xml:space="preserve"> </w:t>
            </w:r>
            <w:proofErr w:type="spellStart"/>
            <w:r w:rsidRPr="00457D41">
              <w:rPr>
                <w:b/>
                <w:i/>
                <w:iCs/>
                <w:color w:val="auto"/>
              </w:rPr>
              <w:t>положення</w:t>
            </w:r>
            <w:proofErr w:type="spellEnd"/>
          </w:p>
        </w:tc>
        <w:tc>
          <w:tcPr>
            <w:tcW w:w="2286" w:type="dxa"/>
            <w:tcBorders>
              <w:top w:val="single" w:sz="4" w:space="0" w:color="auto"/>
              <w:left w:val="single" w:sz="4" w:space="0" w:color="auto"/>
              <w:bottom w:val="single" w:sz="4" w:space="0" w:color="auto"/>
              <w:right w:val="single" w:sz="4" w:space="0" w:color="auto"/>
            </w:tcBorders>
            <w:hideMark/>
          </w:tcPr>
          <w:p w:rsidR="00457D41" w:rsidRPr="00457D41" w:rsidRDefault="00457D41" w:rsidP="00457D41">
            <w:pPr>
              <w:jc w:val="center"/>
              <w:rPr>
                <w:color w:val="auto"/>
              </w:rPr>
            </w:pPr>
          </w:p>
        </w:tc>
      </w:tr>
      <w:tr w:rsidR="00457D41" w:rsidRPr="00457D41" w:rsidTr="007C2D6F">
        <w:trPr>
          <w:trHeight w:val="349"/>
        </w:trPr>
        <w:tc>
          <w:tcPr>
            <w:tcW w:w="8100" w:type="dxa"/>
            <w:tcBorders>
              <w:top w:val="single" w:sz="4" w:space="0" w:color="auto"/>
              <w:left w:val="single" w:sz="4" w:space="0" w:color="auto"/>
              <w:bottom w:val="single" w:sz="4" w:space="0" w:color="auto"/>
              <w:right w:val="single" w:sz="4" w:space="0" w:color="auto"/>
            </w:tcBorders>
          </w:tcPr>
          <w:p w:rsidR="00457D41" w:rsidRPr="00457D41" w:rsidRDefault="00457D41" w:rsidP="00457D41">
            <w:pPr>
              <w:jc w:val="both"/>
              <w:rPr>
                <w:color w:val="auto"/>
                <w:shd w:val="clear" w:color="auto" w:fill="FFFFFF"/>
              </w:rPr>
            </w:pPr>
            <w:proofErr w:type="spellStart"/>
            <w:r w:rsidRPr="00457D41">
              <w:rPr>
                <w:color w:val="auto"/>
              </w:rPr>
              <w:t>Працівники</w:t>
            </w:r>
            <w:proofErr w:type="spellEnd"/>
            <w:r w:rsidRPr="00457D41">
              <w:rPr>
                <w:color w:val="auto"/>
              </w:rPr>
              <w:t xml:space="preserve"> </w:t>
            </w:r>
            <w:proofErr w:type="spellStart"/>
            <w:r w:rsidRPr="00457D41">
              <w:rPr>
                <w:color w:val="auto"/>
              </w:rPr>
              <w:t>Учасника</w:t>
            </w:r>
            <w:proofErr w:type="spellEnd"/>
            <w:r w:rsidRPr="00457D41">
              <w:rPr>
                <w:color w:val="auto"/>
              </w:rPr>
              <w:t xml:space="preserve"> </w:t>
            </w:r>
            <w:proofErr w:type="spellStart"/>
            <w:r w:rsidRPr="00457D41">
              <w:rPr>
                <w:color w:val="auto"/>
              </w:rPr>
              <w:t>повинні</w:t>
            </w:r>
            <w:proofErr w:type="spellEnd"/>
            <w:r w:rsidRPr="00457D41">
              <w:rPr>
                <w:color w:val="auto"/>
              </w:rPr>
              <w:t xml:space="preserve"> бути </w:t>
            </w:r>
            <w:proofErr w:type="spellStart"/>
            <w:r w:rsidRPr="00457D41">
              <w:rPr>
                <w:color w:val="auto"/>
              </w:rPr>
              <w:t>забезпечені</w:t>
            </w:r>
            <w:proofErr w:type="spellEnd"/>
            <w:r w:rsidRPr="00457D41">
              <w:rPr>
                <w:color w:val="auto"/>
              </w:rPr>
              <w:t xml:space="preserve"> </w:t>
            </w:r>
            <w:proofErr w:type="spellStart"/>
            <w:r w:rsidRPr="00457D41">
              <w:rPr>
                <w:bCs/>
                <w:iCs/>
                <w:color w:val="auto"/>
                <w:shd w:val="clear" w:color="auto" w:fill="FFFFFF"/>
              </w:rPr>
              <w:t>форменним</w:t>
            </w:r>
            <w:proofErr w:type="spellEnd"/>
            <w:r w:rsidRPr="00457D41">
              <w:rPr>
                <w:bCs/>
                <w:iCs/>
                <w:color w:val="auto"/>
                <w:shd w:val="clear" w:color="auto" w:fill="FFFFFF"/>
              </w:rPr>
              <w:t xml:space="preserve"> (</w:t>
            </w:r>
            <w:proofErr w:type="spellStart"/>
            <w:r w:rsidRPr="00457D41">
              <w:rPr>
                <w:bCs/>
                <w:iCs/>
                <w:color w:val="auto"/>
                <w:shd w:val="clear" w:color="auto" w:fill="FFFFFF"/>
              </w:rPr>
              <w:t>спецодягом</w:t>
            </w:r>
            <w:proofErr w:type="spellEnd"/>
            <w:r w:rsidRPr="00457D41">
              <w:rPr>
                <w:bCs/>
                <w:iCs/>
                <w:color w:val="auto"/>
                <w:shd w:val="clear" w:color="auto" w:fill="FFFFFF"/>
              </w:rPr>
              <w:t xml:space="preserve">) </w:t>
            </w:r>
            <w:r w:rsidRPr="00457D41">
              <w:rPr>
                <w:color w:val="auto"/>
                <w:shd w:val="clear" w:color="auto" w:fill="FFFFFF"/>
              </w:rPr>
              <w:t> </w:t>
            </w:r>
            <w:proofErr w:type="spellStart"/>
            <w:proofErr w:type="gramStart"/>
            <w:r w:rsidRPr="00457D41">
              <w:rPr>
                <w:color w:val="auto"/>
                <w:shd w:val="clear" w:color="auto" w:fill="FFFFFF"/>
              </w:rPr>
              <w:t>п</w:t>
            </w:r>
            <w:proofErr w:type="gramEnd"/>
            <w:r w:rsidRPr="00457D41">
              <w:rPr>
                <w:color w:val="auto"/>
                <w:shd w:val="clear" w:color="auto" w:fill="FFFFFF"/>
              </w:rPr>
              <w:t>ідвищеної</w:t>
            </w:r>
            <w:proofErr w:type="spellEnd"/>
            <w:r w:rsidRPr="00457D41">
              <w:rPr>
                <w:color w:val="auto"/>
                <w:shd w:val="clear" w:color="auto" w:fill="FFFFFF"/>
              </w:rPr>
              <w:t xml:space="preserve"> </w:t>
            </w:r>
            <w:proofErr w:type="spellStart"/>
            <w:r w:rsidRPr="00457D41">
              <w:rPr>
                <w:color w:val="auto"/>
                <w:shd w:val="clear" w:color="auto" w:fill="FFFFFF"/>
              </w:rPr>
              <w:t>видимості</w:t>
            </w:r>
            <w:proofErr w:type="spellEnd"/>
            <w:r w:rsidRPr="00457D41">
              <w:rPr>
                <w:color w:val="auto"/>
                <w:shd w:val="clear" w:color="auto" w:fill="FFFFFF"/>
              </w:rPr>
              <w:t xml:space="preserve"> з </w:t>
            </w:r>
            <w:proofErr w:type="spellStart"/>
            <w:r w:rsidRPr="00457D41">
              <w:rPr>
                <w:color w:val="auto"/>
                <w:shd w:val="clear" w:color="auto" w:fill="FFFFFF"/>
              </w:rPr>
              <w:t>елементами</w:t>
            </w:r>
            <w:proofErr w:type="spellEnd"/>
            <w:r w:rsidRPr="00457D41">
              <w:rPr>
                <w:color w:val="auto"/>
                <w:shd w:val="clear" w:color="auto" w:fill="FFFFFF"/>
              </w:rPr>
              <w:t xml:space="preserve"> </w:t>
            </w:r>
            <w:proofErr w:type="spellStart"/>
            <w:r w:rsidRPr="00457D41">
              <w:rPr>
                <w:color w:val="auto"/>
                <w:shd w:val="clear" w:color="auto" w:fill="FFFFFF"/>
              </w:rPr>
              <w:t>із</w:t>
            </w:r>
            <w:proofErr w:type="spellEnd"/>
            <w:r w:rsidRPr="00457D41">
              <w:rPr>
                <w:color w:val="auto"/>
                <w:shd w:val="clear" w:color="auto" w:fill="FFFFFF"/>
              </w:rPr>
              <w:t xml:space="preserve"> </w:t>
            </w:r>
            <w:proofErr w:type="spellStart"/>
            <w:r w:rsidRPr="00457D41">
              <w:rPr>
                <w:color w:val="auto"/>
                <w:shd w:val="clear" w:color="auto" w:fill="FFFFFF"/>
              </w:rPr>
              <w:t>світловідбивального</w:t>
            </w:r>
            <w:proofErr w:type="spellEnd"/>
            <w:r w:rsidRPr="00457D41">
              <w:rPr>
                <w:color w:val="auto"/>
                <w:shd w:val="clear" w:color="auto" w:fill="FFFFFF"/>
              </w:rPr>
              <w:t xml:space="preserve"> </w:t>
            </w:r>
            <w:proofErr w:type="spellStart"/>
            <w:r w:rsidRPr="00457D41">
              <w:rPr>
                <w:color w:val="auto"/>
                <w:shd w:val="clear" w:color="auto" w:fill="FFFFFF"/>
              </w:rPr>
              <w:t>матеріалу</w:t>
            </w:r>
            <w:proofErr w:type="spellEnd"/>
            <w:r w:rsidRPr="00457D41">
              <w:rPr>
                <w:color w:val="auto"/>
                <w:shd w:val="clear" w:color="auto" w:fill="FFFFFF"/>
              </w:rPr>
              <w:t xml:space="preserve">. </w:t>
            </w:r>
          </w:p>
          <w:p w:rsidR="00457D41" w:rsidRPr="00457D41" w:rsidRDefault="00457D41" w:rsidP="00457D41">
            <w:pPr>
              <w:jc w:val="both"/>
              <w:rPr>
                <w:color w:val="auto"/>
              </w:rPr>
            </w:pPr>
            <w:r w:rsidRPr="00457D41">
              <w:rPr>
                <w:color w:val="auto"/>
                <w:shd w:val="clear" w:color="auto" w:fill="FFFFFF"/>
              </w:rPr>
              <w:t xml:space="preserve">Машина оснащена </w:t>
            </w:r>
            <w:proofErr w:type="spellStart"/>
            <w:proofErr w:type="gramStart"/>
            <w:r w:rsidRPr="00457D41">
              <w:rPr>
                <w:color w:val="auto"/>
                <w:shd w:val="clear" w:color="auto" w:fill="FFFFFF"/>
              </w:rPr>
              <w:t>св</w:t>
            </w:r>
            <w:proofErr w:type="gramEnd"/>
            <w:r w:rsidRPr="00457D41">
              <w:rPr>
                <w:color w:val="auto"/>
                <w:shd w:val="clear" w:color="auto" w:fill="FFFFFF"/>
              </w:rPr>
              <w:t>ітловими</w:t>
            </w:r>
            <w:proofErr w:type="spellEnd"/>
            <w:r w:rsidRPr="00457D41">
              <w:rPr>
                <w:color w:val="auto"/>
                <w:shd w:val="clear" w:color="auto" w:fill="FFFFFF"/>
              </w:rPr>
              <w:t xml:space="preserve"> </w:t>
            </w:r>
            <w:proofErr w:type="spellStart"/>
            <w:r w:rsidRPr="00457D41">
              <w:rPr>
                <w:color w:val="auto"/>
                <w:shd w:val="clear" w:color="auto" w:fill="FFFFFF"/>
              </w:rPr>
              <w:t>проблисковими</w:t>
            </w:r>
            <w:proofErr w:type="spellEnd"/>
            <w:r w:rsidRPr="00457D41">
              <w:rPr>
                <w:color w:val="auto"/>
                <w:shd w:val="clear" w:color="auto" w:fill="FFFFFF"/>
              </w:rPr>
              <w:t xml:space="preserve"> маячками та </w:t>
            </w:r>
            <w:proofErr w:type="spellStart"/>
            <w:r w:rsidRPr="00457D41">
              <w:rPr>
                <w:color w:val="auto"/>
                <w:shd w:val="clear" w:color="auto" w:fill="FFFFFF"/>
              </w:rPr>
              <w:t>світловими</w:t>
            </w:r>
            <w:proofErr w:type="spellEnd"/>
            <w:r w:rsidRPr="00457D41">
              <w:rPr>
                <w:color w:val="auto"/>
                <w:shd w:val="clear" w:color="auto" w:fill="FFFFFF"/>
              </w:rPr>
              <w:t xml:space="preserve"> панелями, </w:t>
            </w:r>
            <w:proofErr w:type="spellStart"/>
            <w:r w:rsidRPr="00457D41">
              <w:rPr>
                <w:color w:val="auto"/>
                <w:shd w:val="clear" w:color="auto" w:fill="FFFFFF"/>
              </w:rPr>
              <w:t>що</w:t>
            </w:r>
            <w:proofErr w:type="spellEnd"/>
            <w:r w:rsidRPr="00457D41">
              <w:rPr>
                <w:color w:val="auto"/>
                <w:shd w:val="clear" w:color="auto" w:fill="FFFFFF"/>
              </w:rPr>
              <w:t xml:space="preserve"> </w:t>
            </w:r>
            <w:proofErr w:type="spellStart"/>
            <w:r w:rsidRPr="00457D41">
              <w:rPr>
                <w:color w:val="auto"/>
                <w:shd w:val="clear" w:color="auto" w:fill="FFFFFF"/>
              </w:rPr>
              <w:t>слугує</w:t>
            </w:r>
            <w:proofErr w:type="spellEnd"/>
            <w:r w:rsidRPr="00457D41">
              <w:rPr>
                <w:color w:val="auto"/>
                <w:shd w:val="clear" w:color="auto" w:fill="FFFFFF"/>
              </w:rPr>
              <w:t xml:space="preserve">  для </w:t>
            </w:r>
            <w:proofErr w:type="spellStart"/>
            <w:r w:rsidRPr="00457D41">
              <w:rPr>
                <w:color w:val="auto"/>
                <w:shd w:val="clear" w:color="auto" w:fill="FFFFFF"/>
              </w:rPr>
              <w:t>попередження</w:t>
            </w:r>
            <w:proofErr w:type="spellEnd"/>
            <w:r w:rsidRPr="00457D41">
              <w:rPr>
                <w:color w:val="auto"/>
                <w:shd w:val="clear" w:color="auto" w:fill="FFFFFF"/>
              </w:rPr>
              <w:t xml:space="preserve"> </w:t>
            </w:r>
            <w:proofErr w:type="spellStart"/>
            <w:r w:rsidRPr="00457D41">
              <w:rPr>
                <w:color w:val="auto"/>
                <w:shd w:val="clear" w:color="auto" w:fill="FFFFFF"/>
              </w:rPr>
              <w:t>учасників</w:t>
            </w:r>
            <w:proofErr w:type="spellEnd"/>
            <w:r w:rsidRPr="00457D41">
              <w:rPr>
                <w:color w:val="auto"/>
                <w:shd w:val="clear" w:color="auto" w:fill="FFFFFF"/>
              </w:rPr>
              <w:t xml:space="preserve"> </w:t>
            </w:r>
            <w:proofErr w:type="spellStart"/>
            <w:r w:rsidRPr="00457D41">
              <w:rPr>
                <w:color w:val="auto"/>
                <w:shd w:val="clear" w:color="auto" w:fill="FFFFFF"/>
              </w:rPr>
              <w:t>дорожнього</w:t>
            </w:r>
            <w:proofErr w:type="spellEnd"/>
            <w:r w:rsidRPr="00457D41">
              <w:rPr>
                <w:color w:val="auto"/>
                <w:shd w:val="clear" w:color="auto" w:fill="FFFFFF"/>
              </w:rPr>
              <w:t xml:space="preserve"> </w:t>
            </w:r>
            <w:proofErr w:type="spellStart"/>
            <w:r w:rsidRPr="00457D41">
              <w:rPr>
                <w:color w:val="auto"/>
                <w:shd w:val="clear" w:color="auto" w:fill="FFFFFF"/>
              </w:rPr>
              <w:t>руху</w:t>
            </w:r>
            <w:proofErr w:type="spellEnd"/>
            <w:r w:rsidRPr="00457D41">
              <w:rPr>
                <w:color w:val="auto"/>
                <w:shd w:val="clear" w:color="auto" w:fill="FFFFFF"/>
              </w:rPr>
              <w:t xml:space="preserve"> про </w:t>
            </w:r>
            <w:proofErr w:type="spellStart"/>
            <w:r w:rsidRPr="00457D41">
              <w:rPr>
                <w:color w:val="auto"/>
                <w:shd w:val="clear" w:color="auto" w:fill="FFFFFF"/>
              </w:rPr>
              <w:t>проведення</w:t>
            </w:r>
            <w:proofErr w:type="spellEnd"/>
            <w:r w:rsidRPr="00457D41">
              <w:rPr>
                <w:color w:val="auto"/>
                <w:shd w:val="clear" w:color="auto" w:fill="FFFFFF"/>
              </w:rPr>
              <w:t xml:space="preserve"> </w:t>
            </w:r>
            <w:proofErr w:type="spellStart"/>
            <w:r w:rsidRPr="00457D41">
              <w:rPr>
                <w:color w:val="auto"/>
                <w:shd w:val="clear" w:color="auto" w:fill="FFFFFF"/>
              </w:rPr>
              <w:t>робіт</w:t>
            </w:r>
            <w:proofErr w:type="spellEnd"/>
            <w:r w:rsidRPr="00457D41">
              <w:rPr>
                <w:color w:val="auto"/>
                <w:shd w:val="clear" w:color="auto" w:fill="FFFFFF"/>
              </w:rPr>
              <w:t xml:space="preserve"> на </w:t>
            </w:r>
            <w:proofErr w:type="spellStart"/>
            <w:r w:rsidRPr="00457D41">
              <w:rPr>
                <w:color w:val="auto"/>
                <w:shd w:val="clear" w:color="auto" w:fill="FFFFFF"/>
              </w:rPr>
              <w:t>вулично-шляховій</w:t>
            </w:r>
            <w:proofErr w:type="spellEnd"/>
            <w:r w:rsidRPr="00457D41">
              <w:rPr>
                <w:color w:val="auto"/>
                <w:shd w:val="clear" w:color="auto" w:fill="FFFFFF"/>
              </w:rPr>
              <w:t xml:space="preserve"> </w:t>
            </w:r>
            <w:proofErr w:type="spellStart"/>
            <w:r w:rsidRPr="00457D41">
              <w:rPr>
                <w:color w:val="auto"/>
                <w:shd w:val="clear" w:color="auto" w:fill="FFFFFF"/>
              </w:rPr>
              <w:t>мережі</w:t>
            </w:r>
            <w:proofErr w:type="spellEnd"/>
            <w:r w:rsidRPr="00457D41">
              <w:rPr>
                <w:color w:val="auto"/>
                <w:shd w:val="clear" w:color="auto" w:fill="FFFFFF"/>
              </w:rPr>
              <w:t>.</w:t>
            </w:r>
          </w:p>
        </w:tc>
        <w:tc>
          <w:tcPr>
            <w:tcW w:w="2286" w:type="dxa"/>
            <w:tcBorders>
              <w:top w:val="single" w:sz="4" w:space="0" w:color="auto"/>
              <w:left w:val="single" w:sz="4" w:space="0" w:color="auto"/>
              <w:bottom w:val="single" w:sz="4" w:space="0" w:color="auto"/>
              <w:right w:val="single" w:sz="4" w:space="0" w:color="auto"/>
            </w:tcBorders>
          </w:tcPr>
          <w:p w:rsidR="00457D41" w:rsidRPr="00457D41" w:rsidRDefault="00457D41" w:rsidP="00457D41">
            <w:pPr>
              <w:jc w:val="center"/>
              <w:rPr>
                <w:bCs/>
                <w:color w:val="auto"/>
              </w:rPr>
            </w:pPr>
            <w:proofErr w:type="spellStart"/>
            <w:proofErr w:type="gramStart"/>
            <w:r w:rsidRPr="00457D41">
              <w:rPr>
                <w:bCs/>
                <w:color w:val="auto"/>
              </w:rPr>
              <w:t>П</w:t>
            </w:r>
            <w:proofErr w:type="gramEnd"/>
            <w:r w:rsidRPr="00457D41">
              <w:rPr>
                <w:bCs/>
                <w:color w:val="auto"/>
              </w:rPr>
              <w:t>ідтвердження</w:t>
            </w:r>
            <w:proofErr w:type="spellEnd"/>
          </w:p>
        </w:tc>
      </w:tr>
      <w:tr w:rsidR="00457D41" w:rsidRPr="00457D41" w:rsidTr="007C2D6F">
        <w:trPr>
          <w:trHeight w:val="349"/>
        </w:trPr>
        <w:tc>
          <w:tcPr>
            <w:tcW w:w="8100" w:type="dxa"/>
            <w:tcBorders>
              <w:top w:val="single" w:sz="4" w:space="0" w:color="auto"/>
              <w:left w:val="single" w:sz="4" w:space="0" w:color="auto"/>
              <w:bottom w:val="single" w:sz="4" w:space="0" w:color="auto"/>
              <w:right w:val="single" w:sz="4" w:space="0" w:color="auto"/>
            </w:tcBorders>
          </w:tcPr>
          <w:p w:rsidR="00457D41" w:rsidRPr="00457D41" w:rsidRDefault="00457D41" w:rsidP="00457D41">
            <w:pPr>
              <w:jc w:val="both"/>
              <w:rPr>
                <w:bCs/>
                <w:color w:val="auto"/>
              </w:rPr>
            </w:pPr>
            <w:proofErr w:type="spellStart"/>
            <w:r w:rsidRPr="00457D41">
              <w:rPr>
                <w:bCs/>
                <w:color w:val="auto"/>
              </w:rPr>
              <w:t>Учасник</w:t>
            </w:r>
            <w:proofErr w:type="spellEnd"/>
            <w:r w:rsidRPr="00457D41">
              <w:rPr>
                <w:bCs/>
                <w:color w:val="auto"/>
              </w:rPr>
              <w:t xml:space="preserve"> повинен </w:t>
            </w:r>
            <w:proofErr w:type="spellStart"/>
            <w:r w:rsidRPr="00457D41">
              <w:rPr>
                <w:bCs/>
                <w:color w:val="auto"/>
              </w:rPr>
              <w:t>мати</w:t>
            </w:r>
            <w:proofErr w:type="spellEnd"/>
            <w:r w:rsidRPr="00457D41">
              <w:rPr>
                <w:bCs/>
                <w:color w:val="auto"/>
              </w:rPr>
              <w:t xml:space="preserve"> </w:t>
            </w:r>
            <w:proofErr w:type="spellStart"/>
            <w:r w:rsidRPr="00457D41">
              <w:rPr>
                <w:bCs/>
                <w:color w:val="auto"/>
              </w:rPr>
              <w:t>власний</w:t>
            </w:r>
            <w:proofErr w:type="spellEnd"/>
            <w:r w:rsidRPr="00457D41">
              <w:rPr>
                <w:bCs/>
                <w:color w:val="auto"/>
              </w:rPr>
              <w:t xml:space="preserve"> (</w:t>
            </w:r>
            <w:proofErr w:type="spellStart"/>
            <w:r w:rsidRPr="00457D41">
              <w:rPr>
                <w:bCs/>
                <w:color w:val="auto"/>
              </w:rPr>
              <w:t>або</w:t>
            </w:r>
            <w:proofErr w:type="spellEnd"/>
            <w:r w:rsidRPr="00457D41">
              <w:rPr>
                <w:bCs/>
                <w:color w:val="auto"/>
              </w:rPr>
              <w:t xml:space="preserve"> </w:t>
            </w:r>
            <w:proofErr w:type="spellStart"/>
            <w:r w:rsidRPr="00457D41">
              <w:rPr>
                <w:bCs/>
                <w:color w:val="auto"/>
              </w:rPr>
              <w:t>орендований</w:t>
            </w:r>
            <w:proofErr w:type="spellEnd"/>
            <w:r w:rsidRPr="00457D41">
              <w:rPr>
                <w:bCs/>
                <w:color w:val="auto"/>
              </w:rPr>
              <w:t xml:space="preserve">) </w:t>
            </w:r>
            <w:proofErr w:type="spellStart"/>
            <w:r w:rsidRPr="00457D41">
              <w:rPr>
                <w:bCs/>
                <w:color w:val="auto"/>
              </w:rPr>
              <w:t>причі</w:t>
            </w:r>
            <w:proofErr w:type="gramStart"/>
            <w:r w:rsidRPr="00457D41">
              <w:rPr>
                <w:bCs/>
                <w:color w:val="auto"/>
              </w:rPr>
              <w:t>п</w:t>
            </w:r>
            <w:proofErr w:type="spellEnd"/>
            <w:proofErr w:type="gramEnd"/>
            <w:r w:rsidRPr="00457D41">
              <w:rPr>
                <w:bCs/>
                <w:color w:val="auto"/>
              </w:rPr>
              <w:t xml:space="preserve"> </w:t>
            </w:r>
            <w:proofErr w:type="spellStart"/>
            <w:r w:rsidRPr="00457D41">
              <w:rPr>
                <w:bCs/>
                <w:color w:val="auto"/>
              </w:rPr>
              <w:t>безпеки</w:t>
            </w:r>
            <w:proofErr w:type="spellEnd"/>
            <w:r w:rsidRPr="00457D41">
              <w:rPr>
                <w:bCs/>
                <w:color w:val="auto"/>
              </w:rPr>
              <w:t xml:space="preserve"> з транспортом для </w:t>
            </w:r>
            <w:proofErr w:type="spellStart"/>
            <w:r w:rsidRPr="00457D41">
              <w:rPr>
                <w:bCs/>
                <w:color w:val="auto"/>
              </w:rPr>
              <w:t>переміщення</w:t>
            </w:r>
            <w:proofErr w:type="spellEnd"/>
            <w:r w:rsidRPr="00457D41">
              <w:rPr>
                <w:bCs/>
                <w:color w:val="auto"/>
              </w:rPr>
              <w:t xml:space="preserve">. </w:t>
            </w:r>
          </w:p>
        </w:tc>
        <w:tc>
          <w:tcPr>
            <w:tcW w:w="2286" w:type="dxa"/>
            <w:tcBorders>
              <w:top w:val="single" w:sz="4" w:space="0" w:color="auto"/>
              <w:left w:val="single" w:sz="4" w:space="0" w:color="auto"/>
              <w:bottom w:val="single" w:sz="4" w:space="0" w:color="auto"/>
              <w:right w:val="single" w:sz="4" w:space="0" w:color="auto"/>
            </w:tcBorders>
          </w:tcPr>
          <w:p w:rsidR="00457D41" w:rsidRPr="00457D41" w:rsidRDefault="00457D41" w:rsidP="00457D41">
            <w:pPr>
              <w:jc w:val="center"/>
              <w:rPr>
                <w:bCs/>
                <w:color w:val="auto"/>
                <w:lang w:val="uk-UA"/>
              </w:rPr>
            </w:pPr>
            <w:proofErr w:type="spellStart"/>
            <w:proofErr w:type="gramStart"/>
            <w:r w:rsidRPr="00457D41">
              <w:rPr>
                <w:bCs/>
                <w:color w:val="auto"/>
              </w:rPr>
              <w:t>П</w:t>
            </w:r>
            <w:proofErr w:type="gramEnd"/>
            <w:r w:rsidRPr="00457D41">
              <w:rPr>
                <w:bCs/>
                <w:color w:val="auto"/>
              </w:rPr>
              <w:t>ідтвердження</w:t>
            </w:r>
            <w:proofErr w:type="spellEnd"/>
            <w:r w:rsidRPr="00457D41">
              <w:rPr>
                <w:bCs/>
                <w:color w:val="auto"/>
                <w:lang w:val="uk-UA"/>
              </w:rPr>
              <w:t xml:space="preserve"> документально</w:t>
            </w:r>
          </w:p>
        </w:tc>
      </w:tr>
    </w:tbl>
    <w:p w:rsidR="00457D41" w:rsidRPr="00457D41" w:rsidRDefault="00457D41" w:rsidP="00457D41">
      <w:pPr>
        <w:suppressAutoHyphens/>
        <w:rPr>
          <w:b/>
          <w:color w:val="auto"/>
          <w:sz w:val="16"/>
          <w:szCs w:val="16"/>
          <w:highlight w:val="yellow"/>
          <w:lang w:val="uk-UA" w:eastAsia="zh-CN"/>
        </w:rPr>
      </w:pPr>
    </w:p>
    <w:p w:rsidR="00457D41" w:rsidRPr="00457D41" w:rsidRDefault="00457D41" w:rsidP="00457D41">
      <w:pPr>
        <w:jc w:val="both"/>
        <w:rPr>
          <w:rFonts w:eastAsia="Calibri"/>
          <w:bCs/>
          <w:color w:val="auto"/>
          <w:lang w:val="uk-UA" w:eastAsia="uk-UA"/>
        </w:rPr>
      </w:pPr>
      <w:r w:rsidRPr="00457D41">
        <w:rPr>
          <w:rFonts w:eastAsia="Calibri"/>
          <w:b/>
          <w:bCs/>
          <w:color w:val="auto"/>
          <w:lang w:val="uk-UA" w:eastAsia="uk-UA"/>
        </w:rPr>
        <w:t>Надані послуги мають відповідати наступним нормам і правилам:</w:t>
      </w:r>
    </w:p>
    <w:p w:rsidR="00457D41" w:rsidRPr="00457D41" w:rsidRDefault="002F6389" w:rsidP="002F6389">
      <w:pPr>
        <w:tabs>
          <w:tab w:val="left" w:pos="284"/>
        </w:tabs>
        <w:spacing w:after="160" w:line="259" w:lineRule="auto"/>
        <w:contextualSpacing/>
        <w:jc w:val="both"/>
        <w:rPr>
          <w:rFonts w:eastAsia="Calibri"/>
          <w:bCs/>
          <w:color w:val="auto"/>
          <w:lang w:val="uk-UA" w:eastAsia="uk-UA"/>
        </w:rPr>
      </w:pPr>
      <w:r>
        <w:rPr>
          <w:rFonts w:eastAsia="Calibri"/>
          <w:bCs/>
          <w:color w:val="auto"/>
          <w:lang w:val="uk-UA" w:eastAsia="uk-UA"/>
        </w:rPr>
        <w:t xml:space="preserve">- </w:t>
      </w:r>
      <w:r w:rsidR="00457D41" w:rsidRPr="00457D41">
        <w:rPr>
          <w:rFonts w:eastAsia="Calibri"/>
          <w:bCs/>
          <w:color w:val="auto"/>
          <w:lang w:val="uk-UA" w:eastAsia="uk-UA"/>
        </w:rPr>
        <w:t>ДСТУ-Н Б В.3.2-5:2016 «Настанова з ліквідації вибоїн покриття нежорсткого дорожнього одягу автомобільних доріг»;</w:t>
      </w:r>
    </w:p>
    <w:p w:rsidR="00457D41" w:rsidRPr="00457D41" w:rsidRDefault="002F6389" w:rsidP="002F6389">
      <w:pPr>
        <w:tabs>
          <w:tab w:val="left" w:pos="284"/>
        </w:tabs>
        <w:spacing w:after="160" w:line="259" w:lineRule="auto"/>
        <w:contextualSpacing/>
        <w:jc w:val="both"/>
        <w:rPr>
          <w:rFonts w:eastAsia="Calibri"/>
          <w:bCs/>
          <w:color w:val="auto"/>
          <w:lang w:val="uk-UA" w:eastAsia="uk-UA"/>
        </w:rPr>
      </w:pPr>
      <w:r>
        <w:rPr>
          <w:rFonts w:eastAsia="Calibri"/>
          <w:bCs/>
          <w:color w:val="auto"/>
          <w:lang w:val="uk-UA" w:eastAsia="uk-UA"/>
        </w:rPr>
        <w:t xml:space="preserve">- </w:t>
      </w:r>
      <w:r w:rsidR="00457D41" w:rsidRPr="00457D41">
        <w:rPr>
          <w:rFonts w:eastAsia="Calibri"/>
          <w:bCs/>
          <w:color w:val="auto"/>
          <w:lang w:val="uk-UA" w:eastAsia="uk-UA"/>
        </w:rPr>
        <w:t>НПАОП 63.21-1.01-09 «Правила охорони праці під час будівництва, ремонту та утримання автомобільних доріг»;</w:t>
      </w:r>
    </w:p>
    <w:p w:rsidR="00457D41" w:rsidRPr="00457D41" w:rsidRDefault="002F6389" w:rsidP="002F6389">
      <w:pPr>
        <w:tabs>
          <w:tab w:val="left" w:pos="284"/>
        </w:tabs>
        <w:spacing w:after="160" w:line="259" w:lineRule="auto"/>
        <w:contextualSpacing/>
        <w:jc w:val="both"/>
        <w:rPr>
          <w:rFonts w:eastAsia="Calibri"/>
          <w:bCs/>
          <w:color w:val="auto"/>
          <w:lang w:val="uk-UA" w:eastAsia="uk-UA"/>
        </w:rPr>
      </w:pPr>
      <w:r>
        <w:rPr>
          <w:rFonts w:eastAsia="Calibri"/>
          <w:bCs/>
          <w:color w:val="auto"/>
          <w:lang w:val="uk-UA" w:eastAsia="uk-UA"/>
        </w:rPr>
        <w:t xml:space="preserve">- </w:t>
      </w:r>
      <w:r w:rsidR="00457D41" w:rsidRPr="00457D41">
        <w:rPr>
          <w:rFonts w:eastAsia="Calibri"/>
          <w:bCs/>
          <w:color w:val="auto"/>
          <w:lang w:val="uk-UA" w:eastAsia="uk-UA"/>
        </w:rPr>
        <w:t xml:space="preserve">ДСТУ </w:t>
      </w:r>
      <w:bookmarkStart w:id="0" w:name="_GoBack"/>
      <w:bookmarkEnd w:id="0"/>
      <w:r w:rsidR="00457D41" w:rsidRPr="00457D41">
        <w:rPr>
          <w:rFonts w:eastAsia="Calibri"/>
          <w:bCs/>
          <w:color w:val="auto"/>
          <w:lang w:val="uk-UA" w:eastAsia="uk-UA"/>
        </w:rPr>
        <w:t>3587:2022 «Безпека дорожнього руху. Автомобільні дороги. Вимоги до експлуатаційного стану»;</w:t>
      </w:r>
    </w:p>
    <w:p w:rsidR="00457D41" w:rsidRPr="00457D41" w:rsidRDefault="00457D41" w:rsidP="00457D41">
      <w:pPr>
        <w:tabs>
          <w:tab w:val="left" w:pos="567"/>
        </w:tabs>
        <w:jc w:val="both"/>
        <w:rPr>
          <w:rFonts w:eastAsia="Calibri"/>
          <w:bCs/>
          <w:strike/>
          <w:color w:val="auto"/>
          <w:lang w:val="uk-UA" w:eastAsia="uk-UA"/>
        </w:rPr>
      </w:pPr>
      <w:r w:rsidRPr="00457D41">
        <w:t>- ДСТУ 4100:2021 «</w:t>
      </w:r>
      <w:proofErr w:type="spellStart"/>
      <w:r w:rsidRPr="00457D41">
        <w:t>Безпека</w:t>
      </w:r>
      <w:proofErr w:type="spellEnd"/>
      <w:r w:rsidRPr="00457D41">
        <w:t xml:space="preserve"> </w:t>
      </w:r>
      <w:proofErr w:type="spellStart"/>
      <w:r w:rsidRPr="00457D41">
        <w:t>дорожнього</w:t>
      </w:r>
      <w:proofErr w:type="spellEnd"/>
      <w:r w:rsidRPr="00457D41">
        <w:t xml:space="preserve"> </w:t>
      </w:r>
      <w:proofErr w:type="spellStart"/>
      <w:r w:rsidRPr="00457D41">
        <w:t>руху</w:t>
      </w:r>
      <w:proofErr w:type="spellEnd"/>
      <w:r w:rsidRPr="00457D41">
        <w:t xml:space="preserve">. Знаки </w:t>
      </w:r>
      <w:proofErr w:type="spellStart"/>
      <w:r w:rsidRPr="00457D41">
        <w:t>дорожні</w:t>
      </w:r>
      <w:proofErr w:type="spellEnd"/>
      <w:r w:rsidRPr="00457D41">
        <w:t xml:space="preserve">. </w:t>
      </w:r>
      <w:proofErr w:type="spellStart"/>
      <w:r w:rsidRPr="00457D41">
        <w:t>Загальні</w:t>
      </w:r>
      <w:proofErr w:type="spellEnd"/>
      <w:r w:rsidRPr="00457D41">
        <w:t xml:space="preserve"> </w:t>
      </w:r>
      <w:proofErr w:type="spellStart"/>
      <w:proofErr w:type="gramStart"/>
      <w:r w:rsidRPr="00457D41">
        <w:t>техн</w:t>
      </w:r>
      <w:proofErr w:type="gramEnd"/>
      <w:r w:rsidRPr="00457D41">
        <w:t>ічні</w:t>
      </w:r>
      <w:proofErr w:type="spellEnd"/>
      <w:r w:rsidRPr="00457D41">
        <w:t xml:space="preserve"> </w:t>
      </w:r>
      <w:proofErr w:type="spellStart"/>
      <w:r w:rsidRPr="00457D41">
        <w:t>умови</w:t>
      </w:r>
      <w:proofErr w:type="spellEnd"/>
      <w:r w:rsidRPr="00457D41">
        <w:t xml:space="preserve">. Правила </w:t>
      </w:r>
      <w:proofErr w:type="spellStart"/>
      <w:r w:rsidRPr="00457D41">
        <w:t>застосування</w:t>
      </w:r>
      <w:proofErr w:type="spellEnd"/>
      <w:r w:rsidRPr="00457D41">
        <w:t>»;</w:t>
      </w:r>
    </w:p>
    <w:p w:rsidR="00457D41" w:rsidRPr="00457D41" w:rsidRDefault="00457D41" w:rsidP="00457D41">
      <w:pPr>
        <w:jc w:val="both"/>
        <w:rPr>
          <w:rFonts w:eastAsia="Calibri"/>
          <w:bCs/>
          <w:strike/>
          <w:color w:val="auto"/>
          <w:lang w:val="uk-UA" w:eastAsia="uk-UA"/>
        </w:rPr>
      </w:pPr>
      <w:r w:rsidRPr="00457D41">
        <w:rPr>
          <w:rFonts w:eastAsia="Calibri"/>
          <w:bCs/>
          <w:color w:val="auto"/>
          <w:lang w:val="uk-UA" w:eastAsia="uk-UA"/>
        </w:rPr>
        <w:t>- ДСТУ 8749:2017 «Безпека дорожнього руху. Огородження та організація дорожнього руху в місцях проведення дорожніх робіт»;</w:t>
      </w:r>
    </w:p>
    <w:p w:rsidR="00457D41" w:rsidRPr="00457D41" w:rsidRDefault="00457D41" w:rsidP="00457D41">
      <w:pPr>
        <w:jc w:val="both"/>
        <w:rPr>
          <w:rFonts w:eastAsia="Calibri"/>
          <w:bCs/>
          <w:color w:val="auto"/>
          <w:lang w:val="uk-UA" w:eastAsia="uk-UA"/>
        </w:rPr>
      </w:pPr>
      <w:r w:rsidRPr="00457D41">
        <w:rPr>
          <w:rFonts w:eastAsia="Calibri"/>
          <w:bCs/>
          <w:color w:val="auto"/>
          <w:lang w:val="uk-UA" w:eastAsia="uk-UA"/>
        </w:rPr>
        <w:t>- СОУ 42.1-37641918-071:2018 «Автомобільні дороги. Ресурсні елементні кошторисні норми на роботи з експлуатаційного утримання»;</w:t>
      </w:r>
    </w:p>
    <w:p w:rsidR="00457D41" w:rsidRPr="00457D41" w:rsidRDefault="00457D41" w:rsidP="00457D41">
      <w:pPr>
        <w:jc w:val="both"/>
        <w:rPr>
          <w:rFonts w:eastAsia="Calibri"/>
          <w:bCs/>
          <w:color w:val="auto"/>
          <w:lang w:val="uk-UA" w:eastAsia="uk-UA"/>
        </w:rPr>
      </w:pPr>
      <w:r w:rsidRPr="00457D41">
        <w:rPr>
          <w:rFonts w:eastAsia="Calibri"/>
          <w:bCs/>
          <w:color w:val="auto"/>
          <w:lang w:val="uk-UA" w:eastAsia="uk-UA"/>
        </w:rPr>
        <w:t>- СОУ 42.1-37641918-035:2018 «Автомобільні дороги. Ресурсні елементні кошторисні норми на ремонтно-будівельні роботи».</w:t>
      </w:r>
    </w:p>
    <w:p w:rsidR="00457D41" w:rsidRPr="00457D41" w:rsidRDefault="00457D41" w:rsidP="00457D41">
      <w:pPr>
        <w:jc w:val="both"/>
        <w:rPr>
          <w:rFonts w:eastAsia="Calibri"/>
          <w:bCs/>
          <w:color w:val="auto"/>
          <w:sz w:val="16"/>
          <w:szCs w:val="16"/>
          <w:lang w:val="uk-UA" w:eastAsia="uk-UA"/>
        </w:rPr>
      </w:pPr>
    </w:p>
    <w:p w:rsidR="00457D41" w:rsidRPr="00457D41" w:rsidRDefault="00457D41" w:rsidP="00457D41">
      <w:pPr>
        <w:spacing w:after="160"/>
        <w:ind w:firstLine="360"/>
        <w:jc w:val="both"/>
        <w:rPr>
          <w:rFonts w:eastAsia="Calibri"/>
          <w:bCs/>
          <w:color w:val="auto"/>
          <w:lang w:val="uk-UA" w:eastAsia="uk-UA"/>
        </w:rPr>
      </w:pPr>
      <w:r w:rsidRPr="00457D41">
        <w:rPr>
          <w:rFonts w:eastAsia="Calibri"/>
          <w:bCs/>
          <w:color w:val="auto"/>
          <w:lang w:val="uk-UA" w:eastAsia="uk-UA"/>
        </w:rPr>
        <w:t>У разі зміни нормативної бази Замовник не зобов’язаний вносити відповідні зміни до технічного завдання. У такому випадку Учасник сам несе відповідальність за правильність складання документації.</w:t>
      </w:r>
    </w:p>
    <w:p w:rsidR="00457D41" w:rsidRPr="00457D41" w:rsidRDefault="00457D41" w:rsidP="00457D41">
      <w:pPr>
        <w:spacing w:after="160" w:line="259" w:lineRule="auto"/>
        <w:jc w:val="both"/>
        <w:rPr>
          <w:rFonts w:eastAsia="Calibri"/>
          <w:bCs/>
          <w:i/>
          <w:color w:val="auto"/>
          <w:sz w:val="18"/>
          <w:szCs w:val="18"/>
          <w:lang w:val="uk-UA" w:eastAsia="uk-UA"/>
        </w:rPr>
      </w:pPr>
      <w:r w:rsidRPr="00457D41">
        <w:rPr>
          <w:rFonts w:eastAsia="Calibri"/>
          <w:bCs/>
          <w:i/>
          <w:color w:val="auto"/>
          <w:sz w:val="18"/>
          <w:szCs w:val="18"/>
          <w:lang w:val="uk-UA" w:eastAsia="uk-UA"/>
        </w:rPr>
        <w:t>Учасник відповідає за наявність всіх необхідних дозволів, ліцензій на роботи, запропоновані на торги, та самостійно несе всі витрати за отримання таких дозволів, ліцензій.</w:t>
      </w:r>
    </w:p>
    <w:p w:rsidR="00457D41" w:rsidRPr="00457D41" w:rsidRDefault="00457D41" w:rsidP="00457D41">
      <w:pPr>
        <w:spacing w:after="160" w:line="259" w:lineRule="auto"/>
        <w:jc w:val="both"/>
        <w:rPr>
          <w:rFonts w:eastAsia="Calibri"/>
          <w:bCs/>
          <w:i/>
          <w:color w:val="auto"/>
          <w:sz w:val="18"/>
          <w:szCs w:val="18"/>
          <w:lang w:val="uk-UA" w:eastAsia="uk-UA"/>
        </w:rPr>
      </w:pPr>
      <w:r w:rsidRPr="00457D41">
        <w:rPr>
          <w:rFonts w:eastAsia="Calibri"/>
          <w:bCs/>
          <w:i/>
          <w:color w:val="auto"/>
          <w:sz w:val="18"/>
          <w:szCs w:val="18"/>
          <w:lang w:val="uk-UA" w:eastAsia="uk-UA"/>
        </w:rPr>
        <w:t>У разі якщо пропозиція Учасника не відповідає технічним вимогам Замовника або Учасник не в змозі виконати умови (надання послуг/ виконання робіт, які визначені Замовником, пропозиція відхиляється.</w:t>
      </w:r>
    </w:p>
    <w:p w:rsidR="00457D41" w:rsidRPr="00457D41" w:rsidRDefault="00457D41" w:rsidP="00457D41">
      <w:pPr>
        <w:spacing w:after="160" w:line="259" w:lineRule="auto"/>
        <w:jc w:val="both"/>
        <w:rPr>
          <w:rFonts w:eastAsia="Calibri"/>
          <w:bCs/>
          <w:i/>
          <w:color w:val="auto"/>
          <w:sz w:val="18"/>
          <w:szCs w:val="18"/>
          <w:lang w:val="uk-UA" w:eastAsia="uk-UA"/>
        </w:rPr>
      </w:pPr>
      <w:r w:rsidRPr="00457D41">
        <w:rPr>
          <w:rFonts w:eastAsia="Calibri"/>
          <w:bCs/>
          <w:i/>
          <w:color w:val="auto"/>
          <w:sz w:val="18"/>
          <w:szCs w:val="18"/>
          <w:lang w:val="uk-UA" w:eastAsia="uk-UA"/>
        </w:rPr>
        <w:t>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4C26B1" w:rsidRPr="00457D41" w:rsidRDefault="00457D41" w:rsidP="00457D41">
      <w:pPr>
        <w:spacing w:after="160" w:line="259" w:lineRule="auto"/>
        <w:jc w:val="center"/>
        <w:rPr>
          <w:lang w:val="uk-UA"/>
        </w:rPr>
      </w:pPr>
      <w:r w:rsidRPr="00457D41">
        <w:rPr>
          <w:rFonts w:eastAsia="Calibri"/>
          <w:b/>
          <w:i/>
          <w:color w:val="auto"/>
          <w:u w:val="single"/>
          <w:lang w:val="uk-UA" w:eastAsia="uk-UA"/>
        </w:rPr>
        <w:t>Посада, прізвище, ініціали, підпис уповноваженої особи Учасника, завірені печаткою</w:t>
      </w:r>
    </w:p>
    <w:sectPr w:rsidR="004C26B1" w:rsidRPr="00457D41"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8">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9">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1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5"/>
  </w:num>
  <w:num w:numId="7">
    <w:abstractNumId w:val="8"/>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1335EB"/>
    <w:rsid w:val="00133D2D"/>
    <w:rsid w:val="001B7E74"/>
    <w:rsid w:val="00210A6D"/>
    <w:rsid w:val="002273D1"/>
    <w:rsid w:val="002F6389"/>
    <w:rsid w:val="00313739"/>
    <w:rsid w:val="00357C6B"/>
    <w:rsid w:val="003B1325"/>
    <w:rsid w:val="003C2185"/>
    <w:rsid w:val="003C6934"/>
    <w:rsid w:val="00457D41"/>
    <w:rsid w:val="00493449"/>
    <w:rsid w:val="004C26B1"/>
    <w:rsid w:val="005E3891"/>
    <w:rsid w:val="006519F5"/>
    <w:rsid w:val="006D6D0A"/>
    <w:rsid w:val="00767014"/>
    <w:rsid w:val="00771DC1"/>
    <w:rsid w:val="008362F1"/>
    <w:rsid w:val="008B722C"/>
    <w:rsid w:val="008E2B17"/>
    <w:rsid w:val="009067A1"/>
    <w:rsid w:val="00982B44"/>
    <w:rsid w:val="00A144DA"/>
    <w:rsid w:val="00A4357D"/>
    <w:rsid w:val="00A87204"/>
    <w:rsid w:val="00B01129"/>
    <w:rsid w:val="00B518E7"/>
    <w:rsid w:val="00BD30AD"/>
    <w:rsid w:val="00C0372A"/>
    <w:rsid w:val="00C230F2"/>
    <w:rsid w:val="00CC0B57"/>
    <w:rsid w:val="00DD05E6"/>
    <w:rsid w:val="00DD3F5E"/>
    <w:rsid w:val="00DE33CC"/>
    <w:rsid w:val="00E12590"/>
    <w:rsid w:val="00E175C0"/>
    <w:rsid w:val="00E179A2"/>
    <w:rsid w:val="00E32C51"/>
    <w:rsid w:val="00F37061"/>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3916</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2018-07-23T12:45:00Z</cp:lastPrinted>
  <dcterms:created xsi:type="dcterms:W3CDTF">2024-03-01T09:41:00Z</dcterms:created>
  <dcterms:modified xsi:type="dcterms:W3CDTF">2024-03-01T09:47:00Z</dcterms:modified>
</cp:coreProperties>
</file>