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206CA8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8"/>
        <w:spacing w:lineRule="auto" w:line="240" w:after="0" w:beforeAutospacing="0" w:afterAutospacing="0"/>
        <w:jc w:val="center"/>
        <w:rPr>
          <w:rFonts w:ascii="Times New Roman" w:hAnsi="Times New Roman"/>
          <w:sz w:val="24"/>
        </w:rPr>
      </w:pPr>
      <w:bookmarkStart w:id="0" w:name="_heading=h.losnh3a7ho48"/>
      <w:bookmarkEnd w:id="0"/>
      <w:bookmarkStart w:id="1" w:name="_heading=h.gjdgxs"/>
      <w:bookmarkEnd w:id="1"/>
      <w:r>
        <w:rPr>
          <w:rFonts w:ascii="Times New Roman" w:hAnsi="Times New Roman"/>
          <w:b w:val="1"/>
          <w:sz w:val="24"/>
        </w:rPr>
        <w:t>ЗАКАРПАТСЬКА РЕГІОНАЛЬНА ДЕРЖАВНА ЛАБОРАТОРІЯ ДЕРЖПРОДСПОЖИВСЛУЖБИ</w:t>
      </w:r>
    </w:p>
    <w:p>
      <w:pPr>
        <w:pStyle w:val="P8"/>
        <w:spacing w:lineRule="auto" w:line="240" w:after="240" w:beforeAutospacing="0" w:afterAutospacing="0"/>
        <w:rPr>
          <w:rFonts w:ascii="Times New Roman" w:hAnsi="Times New Roman"/>
          <w:sz w:val="24"/>
        </w:rPr>
      </w:pPr>
    </w:p>
    <w:p>
      <w:pPr>
        <w:pStyle w:val="P8"/>
        <w:spacing w:lineRule="auto" w:line="240" w:after="240" w:beforeAutospacing="0" w:afterAutospacing="0"/>
        <w:rPr>
          <w:rFonts w:ascii="Times New Roman" w:hAnsi="Times New Roman"/>
          <w:sz w:val="24"/>
        </w:rPr>
      </w:pPr>
    </w:p>
    <w:tbl>
      <w:tblPr>
        <w:tblStyle w:val="T2"/>
        <w:tblW w:w="0" w:type="auto"/>
        <w:tblCellSpacing w:w="0" w:type="dxa"/>
        <w:tblInd w:w="0" w:type="dxa"/>
        <w:tblLayout w:type="autofit"/>
        <w:tblCellMar>
          <w:left w:w="0" w:type="dxa"/>
          <w:right w:w="0" w:type="dxa"/>
        </w:tblCellMar>
        <w:tblLook w:val="04A0"/>
      </w:tblPr>
      <w:tblGrid/>
      <w:tr>
        <w:trPr>
          <w:trHeight w:hRule="atLeast" w:val="1161"/>
          <w:jc w:val="right"/>
        </w:trPr>
        <w:tc>
          <w:tcPr>
            <w:tcW w:w="5762" w:type="dxa"/>
            <w:tcMar>
              <w:top w:w="0" w:type="dxa"/>
              <w:left w:w="108" w:type="dxa"/>
              <w:bottom w:w="0" w:type="dxa"/>
              <w:right w:w="108" w:type="dxa"/>
            </w:tcMar>
            <w:vAlign w:val="center"/>
          </w:tcPr>
          <w:p>
            <w:pPr>
              <w:pStyle w:val="P15"/>
              <w:jc w:val="right"/>
              <w:rPr>
                <w:rFonts w:ascii="Times New Roman" w:hAnsi="Times New Roman"/>
                <w:b w:val="1"/>
                <w:sz w:val="24"/>
              </w:rPr>
            </w:pPr>
            <w:r>
              <w:rPr>
                <w:rFonts w:ascii="Times New Roman" w:hAnsi="Times New Roman"/>
                <w:b w:val="1"/>
                <w:sz w:val="24"/>
              </w:rPr>
              <w:t>ЗАТВЕРДЖЕНО</w:t>
            </w:r>
          </w:p>
          <w:p>
            <w:pPr>
              <w:pStyle w:val="P15"/>
              <w:jc w:val="right"/>
              <w:rPr>
                <w:rFonts w:ascii="Times New Roman" w:hAnsi="Times New Roman"/>
                <w:b w:val="1"/>
                <w:sz w:val="24"/>
              </w:rPr>
            </w:pPr>
            <w:r>
              <w:rPr>
                <w:rFonts w:ascii="Times New Roman" w:hAnsi="Times New Roman"/>
                <w:b w:val="1"/>
                <w:sz w:val="24"/>
              </w:rPr>
              <w:t xml:space="preserve">рішенням </w:t>
            </w:r>
          </w:p>
          <w:p>
            <w:pPr>
              <w:pStyle w:val="P15"/>
              <w:jc w:val="right"/>
              <w:rPr>
                <w:rFonts w:ascii="Times New Roman" w:hAnsi="Times New Roman"/>
                <w:b w:val="1"/>
                <w:sz w:val="24"/>
              </w:rPr>
            </w:pPr>
            <w:r>
              <w:rPr>
                <w:rFonts w:ascii="Times New Roman" w:hAnsi="Times New Roman"/>
                <w:b w:val="1"/>
                <w:sz w:val="24"/>
              </w:rPr>
              <w:t xml:space="preserve">Уповноваженої особи </w:t>
            </w:r>
          </w:p>
          <w:p>
            <w:pPr>
              <w:pStyle w:val="P15"/>
              <w:jc w:val="right"/>
              <w:rPr>
                <w:rFonts w:ascii="Times New Roman" w:hAnsi="Times New Roman"/>
                <w:b w:val="1"/>
                <w:sz w:val="24"/>
              </w:rPr>
            </w:pPr>
            <w:r>
              <w:rPr>
                <w:rFonts w:ascii="Times New Roman" w:hAnsi="Times New Roman"/>
                <w:b w:val="1"/>
                <w:sz w:val="24"/>
              </w:rPr>
              <w:t xml:space="preserve">Від </w:t>
            </w:r>
            <w:r>
              <w:rPr>
                <w:rFonts w:ascii="Times New Roman" w:hAnsi="Times New Roman"/>
                <w:b w:val="1"/>
                <w:sz w:val="24"/>
              </w:rPr>
              <w:t>04</w:t>
            </w:r>
            <w:r>
              <w:rPr>
                <w:rFonts w:ascii="Times New Roman" w:hAnsi="Times New Roman"/>
                <w:b w:val="1"/>
                <w:sz w:val="24"/>
              </w:rPr>
              <w:t>.</w:t>
            </w:r>
            <w:r>
              <w:rPr>
                <w:rFonts w:ascii="Times New Roman" w:hAnsi="Times New Roman"/>
                <w:b w:val="1"/>
                <w:sz w:val="24"/>
              </w:rPr>
              <w:t>12</w:t>
            </w:r>
            <w:r>
              <w:rPr>
                <w:rFonts w:ascii="Times New Roman" w:hAnsi="Times New Roman"/>
                <w:b w:val="1"/>
                <w:sz w:val="24"/>
              </w:rPr>
              <w:t>.2023 року</w:t>
            </w:r>
          </w:p>
          <w:p>
            <w:pPr>
              <w:pStyle w:val="P15"/>
              <w:jc w:val="right"/>
              <w:rPr>
                <w:rFonts w:ascii="Times New Roman" w:hAnsi="Times New Roman"/>
                <w:b w:val="1"/>
                <w:sz w:val="24"/>
              </w:rPr>
            </w:pPr>
          </w:p>
          <w:p>
            <w:pPr>
              <w:pStyle w:val="P15"/>
              <w:jc w:val="right"/>
            </w:pPr>
            <w:r>
              <w:rPr>
                <w:rFonts w:ascii="Times New Roman" w:hAnsi="Times New Roman"/>
                <w:b w:val="1"/>
                <w:sz w:val="24"/>
              </w:rPr>
              <w:t>__________________________Євген ДРАГОЄВ</w:t>
            </w:r>
          </w:p>
        </w:tc>
      </w:tr>
    </w:tbl>
    <w:p>
      <w:pPr>
        <w:pStyle w:val="P8"/>
        <w:spacing w:lineRule="auto" w:line="240" w:after="0" w:beforeAutospacing="0" w:afterAutospacing="0"/>
        <w:ind w:firstLine="6946"/>
        <w:rPr>
          <w:rFonts w:ascii="Times New Roman" w:hAnsi="Times New Roman"/>
          <w:sz w:val="24"/>
        </w:rPr>
      </w:pPr>
    </w:p>
    <w:p>
      <w:pPr>
        <w:pStyle w:val="P8"/>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r>
    </w:p>
    <w:p>
      <w:pPr>
        <w:pStyle w:val="P8"/>
        <w:spacing w:lineRule="auto" w:line="240" w:before="280" w:after="280" w:beforeAutospacing="0" w:afterAutospacing="0"/>
        <w:jc w:val="center"/>
        <w:rPr>
          <w:rFonts w:ascii="Times New Roman" w:hAnsi="Times New Roman"/>
          <w:i w:val="1"/>
          <w:sz w:val="24"/>
        </w:rPr>
      </w:pPr>
      <w:r>
        <w:rPr>
          <w:rFonts w:ascii="Times New Roman" w:hAnsi="Times New Roman"/>
          <w:b w:val="1"/>
          <w:sz w:val="24"/>
        </w:rPr>
        <w:t>ТЕНДЕРНА ДОКУМЕНТАЦІЯ</w:t>
      </w:r>
    </w:p>
    <w:p>
      <w:pPr>
        <w:pStyle w:val="P8"/>
        <w:spacing w:lineRule="auto" w:line="240" w:after="0" w:beforeAutospacing="0" w:afterAutospacing="0"/>
        <w:jc w:val="center"/>
        <w:rPr>
          <w:rFonts w:ascii="Times New Roman" w:hAnsi="Times New Roman"/>
          <w:b w:val="1"/>
          <w:sz w:val="24"/>
        </w:rPr>
      </w:pPr>
      <w:r>
        <w:rPr>
          <w:rFonts w:ascii="Times New Roman" w:hAnsi="Times New Roman"/>
          <w:b w:val="1"/>
          <w:i w:val="1"/>
          <w:sz w:val="24"/>
        </w:rPr>
        <w:t>процедура закупівлі - відкриті торги з особливостями</w:t>
      </w:r>
    </w:p>
    <w:p>
      <w:pPr>
        <w:pStyle w:val="P8"/>
        <w:spacing w:lineRule="auto" w:line="240" w:after="0" w:beforeAutospacing="0" w:afterAutospacing="0"/>
        <w:jc w:val="center"/>
        <w:rPr>
          <w:rFonts w:ascii="Times New Roman" w:hAnsi="Times New Roman"/>
          <w:b w:val="1"/>
          <w:sz w:val="24"/>
        </w:rPr>
      </w:pPr>
    </w:p>
    <w:p>
      <w:pPr>
        <w:pStyle w:val="P15"/>
        <w:spacing w:lineRule="auto" w:line="240" w:after="0" w:beforeAutospacing="0" w:afterAutospacing="0"/>
        <w:jc w:val="center"/>
        <w:rPr>
          <w:rFonts w:ascii="Times New Roman" w:hAnsi="Times New Roman"/>
          <w:b w:val="1"/>
          <w:color w:val="000000"/>
          <w:sz w:val="24"/>
        </w:rPr>
      </w:pPr>
      <w:r>
        <w:rPr>
          <w:rFonts w:ascii="Times New Roman" w:hAnsi="Times New Roman"/>
          <w:b w:val="1"/>
          <w:sz w:val="24"/>
        </w:rPr>
        <w:t>Предмет закупівлі:</w:t>
      </w:r>
    </w:p>
    <w:p>
      <w:pPr>
        <w:tabs>
          <w:tab w:val="left" w:pos="426" w:leader="none"/>
          <w:tab w:val="left" w:pos="567" w:leader="none"/>
        </w:tabs>
        <w:spacing w:lineRule="auto" w:line="240" w:after="0" w:beforeAutospacing="0" w:afterAutospacing="0"/>
        <w:ind w:firstLine="0" w:left="360"/>
        <w:jc w:val="center"/>
        <w:rPr>
          <w:rFonts w:ascii="Times New Roman" w:hAnsi="Times New Roman"/>
          <w:b w:val="1"/>
          <w:color w:val="000000"/>
          <w:sz w:val="24"/>
          <w:shd w:val="clear" w:fill="FFFFFF"/>
        </w:rPr>
      </w:pPr>
      <w:r>
        <w:rPr>
          <w:rFonts w:ascii="Times New Roman" w:hAnsi="Times New Roman"/>
          <w:b w:val="1"/>
          <w:sz w:val="24"/>
          <w:shd w:val="clear" w:fill="FFFFFF"/>
        </w:rPr>
        <w:t xml:space="preserve">Природний газ, код 09120000-6 «Газове паливо» за ДК 021:2015 </w:t>
      </w:r>
      <w:r>
        <w:rPr>
          <w:rFonts w:ascii="Times New Roman" w:hAnsi="Times New Roman"/>
          <w:sz w:val="24"/>
          <w:shd w:val="clear" w:fill="FFFFFF"/>
        </w:rPr>
        <w:t>Єдиного закупівельного словника</w:t>
      </w:r>
    </w:p>
    <w:p>
      <w:pPr>
        <w:spacing w:lineRule="auto" w:line="240" w:before="240" w:after="0" w:beforeAutospacing="0" w:afterAutospacing="0"/>
        <w:jc w:val="center"/>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sz w:val="24"/>
        </w:rPr>
      </w:pPr>
      <w:bookmarkStart w:id="2" w:name="_heading=h.9wno7i7ht2af"/>
      <w:bookmarkEnd w:id="2"/>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before="240" w:after="0" w:beforeAutospacing="0" w:afterAutospacing="0"/>
        <w:jc w:val="center"/>
        <w:rPr>
          <w:rFonts w:ascii="Times New Roman" w:hAnsi="Times New Roman"/>
          <w:color w:val="000000"/>
          <w:sz w:val="24"/>
          <w:shd w:val="clear" w:fill="FFFFFF"/>
        </w:rPr>
      </w:pPr>
    </w:p>
    <w:p>
      <w:pPr>
        <w:spacing w:lineRule="auto" w:line="240" w:after="0" w:beforeAutospacing="0" w:afterAutospacing="0"/>
        <w:jc w:val="center"/>
        <w:rPr>
          <w:rFonts w:ascii="Times New Roman" w:hAnsi="Times New Roman"/>
          <w:sz w:val="24"/>
        </w:rPr>
      </w:pPr>
      <w:r>
        <w:rPr>
          <w:rFonts w:ascii="Times New Roman" w:hAnsi="Times New Roman"/>
          <w:sz w:val="24"/>
        </w:rPr>
        <w:t>м. Ужгород - 2023 рік</w:t>
      </w:r>
    </w:p>
    <w:p>
      <w:pPr>
        <w:spacing w:lineRule="auto" w:line="240" w:after="0" w:beforeAutospacing="0" w:afterAutospacing="0"/>
        <w:jc w:val="both"/>
        <w:rPr>
          <w:rFonts w:ascii="Times New Roman" w:hAnsi="Times New Roman"/>
          <w:sz w:val="24"/>
        </w:rPr>
      </w:pPr>
    </w:p>
    <w:tbl>
      <w:tblPr>
        <w:tblStyle w:val="T4"/>
        <w:tblW w:w="9960" w:type="dxa"/>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trPr>
        <w:tc>
          <w:tcPr>
            <w:tcW w:w="705" w:type="dxa"/>
            <w:vAlign w:val="center"/>
          </w:tcPr>
          <w:p>
            <w:pPr>
              <w:jc w:val="center"/>
              <w:rPr>
                <w:rFonts w:ascii="Times New Roman" w:hAnsi="Times New Roman"/>
                <w:sz w:val="24"/>
              </w:rPr>
            </w:pPr>
            <w:r>
              <w:rPr>
                <w:rFonts w:ascii="Times New Roman" w:hAnsi="Times New Roman"/>
                <w:sz w:val="24"/>
              </w:rPr>
              <w:t>№</w:t>
            </w:r>
          </w:p>
        </w:tc>
        <w:tc>
          <w:tcPr>
            <w:tcW w:w="9255"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411"/>
        </w:trPr>
        <w:tc>
          <w:tcPr>
            <w:tcW w:w="705" w:type="dxa"/>
            <w:vAlign w:val="center"/>
          </w:tcPr>
          <w:p>
            <w:pPr>
              <w:jc w:val="center"/>
              <w:rPr>
                <w:rFonts w:ascii="Times New Roman" w:hAnsi="Times New Roman"/>
                <w:sz w:val="24"/>
              </w:rPr>
            </w:pPr>
            <w:r>
              <w:rPr>
                <w:rFonts w:ascii="Times New Roman" w:hAnsi="Times New Roman"/>
                <w:sz w:val="24"/>
              </w:rPr>
              <w:t>1</w:t>
            </w:r>
          </w:p>
        </w:tc>
        <w:tc>
          <w:tcPr>
            <w:tcW w:w="2835" w:type="dxa"/>
            <w:vAlign w:val="center"/>
          </w:tcPr>
          <w:p>
            <w:pPr>
              <w:jc w:val="center"/>
              <w:rPr>
                <w:rFonts w:ascii="Times New Roman" w:hAnsi="Times New Roman"/>
                <w:sz w:val="24"/>
              </w:rPr>
            </w:pPr>
            <w:r>
              <w:rPr>
                <w:rFonts w:ascii="Times New Roman" w:hAnsi="Times New Roman"/>
                <w:sz w:val="24"/>
              </w:rPr>
              <w:t>2</w:t>
            </w:r>
          </w:p>
        </w:tc>
        <w:tc>
          <w:tcPr>
            <w:tcW w:w="6420" w:type="dxa"/>
            <w:vAlign w:val="center"/>
          </w:tcPr>
          <w:p>
            <w:pPr>
              <w:jc w:val="center"/>
              <w:rPr>
                <w:rFonts w:ascii="Times New Roman" w:hAnsi="Times New Roman"/>
                <w:sz w:val="24"/>
              </w:rPr>
            </w:pPr>
            <w:r>
              <w:rPr>
                <w:rFonts w:ascii="Times New Roman" w:hAnsi="Times New Roman"/>
                <w:sz w:val="24"/>
              </w:rPr>
              <w:t>3</w:t>
            </w:r>
          </w:p>
        </w:tc>
      </w:tr>
      <w:tr>
        <w:trPr>
          <w:trHeight w:hRule="atLeast" w:val="1119"/>
        </w:trPr>
        <w:tc>
          <w:tcPr>
            <w:tcW w:w="705" w:type="dxa"/>
          </w:tcPr>
          <w:p>
            <w:pPr>
              <w:jc w:val="center"/>
              <w:rPr>
                <w:rFonts w:ascii="Times New Roman" w:hAnsi="Times New Roman"/>
                <w:sz w:val="24"/>
              </w:rPr>
            </w:pPr>
            <w:r>
              <w:rPr>
                <w:rFonts w:ascii="Times New Roman" w:hAnsi="Times New Roman"/>
                <w:color w:val="000000"/>
                <w:sz w:val="24"/>
              </w:rPr>
              <w:t>1</w:t>
            </w:r>
          </w:p>
        </w:tc>
        <w:tc>
          <w:tcPr>
            <w:tcW w:w="2835" w:type="dxa"/>
          </w:tcPr>
          <w:p>
            <w:pPr>
              <w:rPr>
                <w:rFonts w:ascii="Times New Roman" w:hAnsi="Times New Roman"/>
                <w:sz w:val="24"/>
              </w:rPr>
            </w:pPr>
            <w:r>
              <w:rPr>
                <w:rFonts w:ascii="Times New Roman" w:hAnsi="Times New Roman"/>
                <w:b w:val="1"/>
                <w:color w:val="000000"/>
                <w:sz w:val="24"/>
              </w:rPr>
              <w:t>Терміни, які вживаються в тендерній документації</w:t>
            </w:r>
          </w:p>
        </w:tc>
        <w:tc>
          <w:tcPr>
            <w:tcW w:w="6420" w:type="dxa"/>
          </w:tcPr>
          <w:p>
            <w:pPr>
              <w:jc w:val="both"/>
              <w:rPr>
                <w:rFonts w:ascii="Times New Roman" w:hAnsi="Times New Roman"/>
                <w:sz w:val="24"/>
                <w:shd w:val="clear" w:fill="00FFFF"/>
              </w:rPr>
            </w:pPr>
            <w:r>
              <w:rPr>
                <w:rFonts w:ascii="Times New Roman" w:hAnsi="Times New Roman"/>
                <w:sz w:val="24"/>
              </w:rPr>
              <w:t>Тендерну д</w:t>
            </w:r>
            <w:r>
              <w:rPr>
                <w:rFonts w:ascii="Times New Roman" w:hAnsi="Times New Roman"/>
                <w:color w:val="000000"/>
                <w:sz w:val="24"/>
              </w:rPr>
              <w:t xml:space="preserve">окументацію розроблено відповідно до вимог Закону України «Про публічні закупівлі» (далі </w:t>
            </w:r>
            <w:r>
              <w:rPr>
                <w:rFonts w:ascii="Times New Roman" w:hAnsi="Times New Roman"/>
                <w:sz w:val="24"/>
              </w:rPr>
              <w:t>—</w:t>
            </w:r>
            <w:r>
              <w:rPr>
                <w:rFonts w:ascii="Times New Roman" w:hAnsi="Times New Roman"/>
                <w:color w:val="000000"/>
                <w:sz w:val="24"/>
              </w:rPr>
              <w:t xml:space="preserve"> </w:t>
            </w:r>
            <w:r>
              <w:rPr>
                <w:rFonts w:ascii="Times New Roman" w:hAnsi="Times New Roman"/>
                <w:b w:val="1"/>
                <w:i w:val="1"/>
                <w:color w:val="000000"/>
                <w:sz w:val="24"/>
              </w:rPr>
              <w:t>Закон</w:t>
            </w:r>
            <w:r>
              <w:rPr>
                <w:rFonts w:ascii="Times New Roman" w:hAnsi="Times New Roman"/>
                <w:color w:val="000000"/>
                <w:sz w:val="24"/>
              </w:rPr>
              <w:t>)</w:t>
            </w:r>
            <w:r>
              <w:rPr>
                <w:rFonts w:ascii="Times New Roman" w:hAnsi="Times New Roman"/>
                <w:sz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sz w:val="24"/>
                <w:shd w:val="clear" w:fill="FFFFFF"/>
              </w:rPr>
              <w:t>(із змінами й доповненням</w:t>
            </w:r>
            <w:r>
              <w:rPr>
                <w:rFonts w:ascii="Times New Roman" w:hAnsi="Times New Roman"/>
                <w:sz w:val="24"/>
              </w:rPr>
              <w:t>и)</w:t>
            </w:r>
            <w:r>
              <w:rPr>
                <w:rFonts w:ascii="Times New Roman" w:hAnsi="Times New Roman"/>
                <w:color w:val="00B050"/>
                <w:sz w:val="24"/>
              </w:rPr>
              <w:t xml:space="preserve"> </w:t>
            </w:r>
            <w:r>
              <w:rPr>
                <w:rFonts w:ascii="Times New Roman" w:hAnsi="Times New Roman"/>
                <w:sz w:val="24"/>
              </w:rPr>
              <w:t xml:space="preserve">(далі — </w:t>
            </w:r>
            <w:r>
              <w:rPr>
                <w:rFonts w:ascii="Times New Roman" w:hAnsi="Times New Roman"/>
                <w:b w:val="1"/>
                <w:i w:val="1"/>
                <w:sz w:val="24"/>
              </w:rPr>
              <w:t>Особливості</w:t>
            </w:r>
            <w:r>
              <w:rPr>
                <w:rFonts w:ascii="Times New Roman" w:hAnsi="Times New Roman"/>
                <w:sz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4"/>
                <w:u w:val="none"/>
                <w:vertAlign w:val="baseline"/>
              </w:rPr>
            </w:pPr>
            <w:r>
              <w:rPr>
                <w:rFonts w:ascii="Times New Roman" w:hAnsi="Times New Roman"/>
                <w:b w:val="0"/>
                <w:i w:val="0"/>
                <w:strike w:val="0"/>
                <w:color w:val="000000"/>
                <w:sz w:val="24"/>
                <w:u w:val="none"/>
                <w:vertAlign w:val="baseline"/>
              </w:rPr>
              <w:t xml:space="preserve">Терміни, які використовуються в цій документації, вживаються у значенні, наведеному в </w:t>
            </w:r>
            <w:r>
              <w:rPr>
                <w:rFonts w:ascii="Times New Roman" w:hAnsi="Times New Roman"/>
                <w:b w:val="1"/>
                <w:i w:val="1"/>
                <w:strike w:val="0"/>
                <w:color w:val="000000"/>
                <w:sz w:val="24"/>
                <w:u w:val="none"/>
                <w:vertAlign w:val="baseline"/>
              </w:rPr>
              <w:t>Законі</w:t>
            </w:r>
            <w:r>
              <w:rPr>
                <w:rFonts w:ascii="Times New Roman" w:hAnsi="Times New Roman"/>
                <w:b w:val="0"/>
                <w:i w:val="0"/>
                <w:strike w:val="0"/>
                <w:color w:val="000000"/>
                <w:sz w:val="24"/>
                <w:u w:val="none"/>
                <w:vertAlign w:val="baseline"/>
              </w:rPr>
              <w:t xml:space="preserve"> та </w:t>
            </w:r>
            <w:r>
              <w:rPr>
                <w:rFonts w:ascii="Times New Roman" w:hAnsi="Times New Roman"/>
                <w:b w:val="1"/>
                <w:i w:val="1"/>
                <w:strike w:val="0"/>
                <w:color w:val="000000"/>
                <w:sz w:val="24"/>
                <w:u w:val="none"/>
                <w:vertAlign w:val="baseline"/>
              </w:rPr>
              <w:t xml:space="preserve">Особливостях </w:t>
            </w:r>
            <w:r>
              <w:rPr>
                <w:rFonts w:ascii="Times New Roman" w:hAnsi="Times New Roman"/>
                <w:b w:val="0"/>
                <w:i w:val="0"/>
                <w:strike w:val="0"/>
                <w:color w:val="000000"/>
                <w:sz w:val="24"/>
                <w:u w:val="none"/>
                <w:vertAlign w:val="baseline"/>
              </w:rPr>
              <w:t>та інших вищенаведених нормативних актах.</w:t>
            </w:r>
          </w:p>
        </w:tc>
      </w:tr>
      <w:tr>
        <w:trPr>
          <w:trHeight w:hRule="atLeast" w:val="615"/>
        </w:trPr>
        <w:tc>
          <w:tcPr>
            <w:tcW w:w="705" w:type="dxa"/>
          </w:tcPr>
          <w:p>
            <w:pPr>
              <w:jc w:val="center"/>
              <w:rPr>
                <w:rFonts w:ascii="Times New Roman" w:hAnsi="Times New Roman"/>
                <w:sz w:val="24"/>
              </w:rPr>
            </w:pPr>
            <w:r>
              <w:rPr>
                <w:rFonts w:ascii="Times New Roman" w:hAnsi="Times New Roman"/>
                <w:color w:val="000000"/>
                <w:sz w:val="24"/>
              </w:rPr>
              <w:t>2</w:t>
            </w:r>
          </w:p>
        </w:tc>
        <w:tc>
          <w:tcPr>
            <w:tcW w:w="2835" w:type="dxa"/>
          </w:tcPr>
          <w:p>
            <w:pPr>
              <w:rPr>
                <w:rFonts w:ascii="Times New Roman" w:hAnsi="Times New Roman"/>
                <w:sz w:val="24"/>
              </w:rPr>
            </w:pPr>
            <w:r>
              <w:rPr>
                <w:rFonts w:ascii="Times New Roman" w:hAnsi="Times New Roman"/>
                <w:b w:val="1"/>
                <w:color w:val="000000"/>
                <w:sz w:val="24"/>
              </w:rPr>
              <w:t>Інформація про замовника торгів</w:t>
            </w:r>
          </w:p>
        </w:tc>
        <w:tc>
          <w:tcPr>
            <w:tcW w:w="6420" w:type="dxa"/>
          </w:tcPr>
          <w:p>
            <w:pPr>
              <w:jc w:val="both"/>
              <w:rPr>
                <w:rFonts w:ascii="Times New Roman" w:hAnsi="Times New Roman"/>
                <w:sz w:val="24"/>
              </w:rPr>
            </w:pPr>
            <w:r>
              <w:rPr>
                <w:rFonts w:ascii="Times New Roman" w:hAnsi="Times New Roman"/>
                <w:color w:val="000000"/>
                <w:sz w:val="24"/>
              </w:rPr>
              <w:t> </w:t>
            </w:r>
          </w:p>
        </w:tc>
      </w:tr>
      <w:tr>
        <w:trPr>
          <w:trHeight w:hRule="atLeast" w:val="285"/>
        </w:trPr>
        <w:tc>
          <w:tcPr>
            <w:tcW w:w="705" w:type="dxa"/>
          </w:tcPr>
          <w:p>
            <w:pPr>
              <w:jc w:val="center"/>
              <w:rPr>
                <w:rFonts w:ascii="Times New Roman" w:hAnsi="Times New Roman"/>
                <w:sz w:val="24"/>
              </w:rPr>
            </w:pPr>
            <w:r>
              <w:rPr>
                <w:rFonts w:ascii="Times New Roman" w:hAnsi="Times New Roman"/>
                <w:color w:val="000000"/>
                <w:sz w:val="24"/>
              </w:rPr>
              <w:t>2.1</w:t>
            </w:r>
          </w:p>
        </w:tc>
        <w:tc>
          <w:tcPr>
            <w:tcW w:w="2835" w:type="dxa"/>
          </w:tcPr>
          <w:p>
            <w:pPr>
              <w:rPr>
                <w:rFonts w:ascii="Times New Roman" w:hAnsi="Times New Roman"/>
                <w:sz w:val="24"/>
              </w:rPr>
            </w:pPr>
            <w:r>
              <w:rPr>
                <w:rFonts w:ascii="Times New Roman" w:hAnsi="Times New Roman"/>
                <w:color w:val="000000"/>
                <w:sz w:val="24"/>
              </w:rPr>
              <w:t>повне найменування</w:t>
            </w:r>
          </w:p>
        </w:tc>
        <w:tc>
          <w:tcPr>
            <w:tcW w:w="6420" w:type="dxa"/>
          </w:tcPr>
          <w:p>
            <w:pPr>
              <w:jc w:val="both"/>
              <w:rPr>
                <w:rFonts w:ascii="Times New Roman" w:hAnsi="Times New Roman"/>
                <w:i w:val="1"/>
                <w:sz w:val="24"/>
              </w:rPr>
            </w:pPr>
            <w:r>
              <w:rPr>
                <w:rFonts w:ascii="Times New Roman" w:hAnsi="Times New Roman"/>
                <w:i w:val="0"/>
                <w:sz w:val="24"/>
              </w:rPr>
              <w:t>З</w:t>
            </w:r>
            <w:r>
              <w:rPr>
                <w:rFonts w:ascii="Times New Roman" w:hAnsi="Times New Roman"/>
                <w:sz w:val="24"/>
              </w:rPr>
              <w:t>акарпатська регіональна державна лабораторія Держпродспоживслужби, ЄДРПОУ 00698727</w:t>
            </w:r>
          </w:p>
        </w:tc>
      </w:tr>
      <w:tr>
        <w:trPr>
          <w:trHeight w:hRule="atLeast" w:val="510"/>
        </w:trPr>
        <w:tc>
          <w:tcPr>
            <w:tcW w:w="705" w:type="dxa"/>
          </w:tcPr>
          <w:p>
            <w:pPr>
              <w:jc w:val="center"/>
              <w:rPr>
                <w:rFonts w:ascii="Times New Roman" w:hAnsi="Times New Roman"/>
                <w:sz w:val="24"/>
              </w:rPr>
            </w:pPr>
            <w:r>
              <w:rPr>
                <w:rFonts w:ascii="Times New Roman" w:hAnsi="Times New Roman"/>
                <w:color w:val="000000"/>
                <w:sz w:val="24"/>
              </w:rPr>
              <w:t>2.2</w:t>
            </w:r>
          </w:p>
        </w:tc>
        <w:tc>
          <w:tcPr>
            <w:tcW w:w="2835" w:type="dxa"/>
          </w:tcPr>
          <w:p>
            <w:pPr>
              <w:rPr>
                <w:rFonts w:ascii="Times New Roman" w:hAnsi="Times New Roman"/>
                <w:sz w:val="24"/>
              </w:rPr>
            </w:pPr>
            <w:r>
              <w:rPr>
                <w:rFonts w:ascii="Times New Roman" w:hAnsi="Times New Roman"/>
                <w:color w:val="000000"/>
                <w:sz w:val="24"/>
              </w:rPr>
              <w:t>місцезнаходження</w:t>
            </w:r>
          </w:p>
        </w:tc>
        <w:tc>
          <w:tcPr>
            <w:tcW w:w="6420" w:type="dxa"/>
          </w:tcPr>
          <w:p>
            <w:pPr>
              <w:jc w:val="both"/>
              <w:rPr>
                <w:rFonts w:ascii="Times New Roman" w:hAnsi="Times New Roman"/>
                <w:sz w:val="24"/>
              </w:rPr>
            </w:pPr>
            <w:r>
              <w:rPr>
                <w:rFonts w:ascii="Times New Roman" w:hAnsi="Times New Roman"/>
                <w:sz w:val="24"/>
              </w:rPr>
              <w:t>88015, Україна, Закарпатська область, м. Ужгород, вул. Минайська, буд. 39</w:t>
            </w:r>
          </w:p>
        </w:tc>
      </w:tr>
      <w:tr>
        <w:trPr>
          <w:trHeight w:hRule="atLeast" w:val="1119"/>
        </w:trPr>
        <w:tc>
          <w:tcPr>
            <w:tcW w:w="705" w:type="dxa"/>
          </w:tcPr>
          <w:p>
            <w:pPr>
              <w:jc w:val="center"/>
              <w:rPr>
                <w:rFonts w:ascii="Times New Roman" w:hAnsi="Times New Roman"/>
                <w:sz w:val="24"/>
              </w:rPr>
            </w:pPr>
            <w:r>
              <w:rPr>
                <w:rFonts w:ascii="Times New Roman" w:hAnsi="Times New Roman"/>
                <w:color w:val="000000"/>
                <w:sz w:val="24"/>
              </w:rPr>
              <w:t>2.3</w:t>
            </w:r>
          </w:p>
        </w:tc>
        <w:tc>
          <w:tcPr>
            <w:tcW w:w="2835" w:type="dxa"/>
          </w:tcPr>
          <w:p>
            <w:pPr>
              <w:rPr>
                <w:rFonts w:ascii="Times New Roman" w:hAnsi="Times New Roman"/>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pStyle w:val="P8"/>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t>Драгоєв Євген Дмитрович - уповноважена особа - провідний юрист,</w:t>
            </w:r>
          </w:p>
          <w:p>
            <w:pPr>
              <w:pStyle w:val="P8"/>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p>
          <w:p>
            <w:pPr>
              <w:pStyle w:val="P8"/>
              <w:spacing w:lineRule="auto" w:line="240" w:after="0" w:beforeAutospacing="0" w:afterAutospacing="0"/>
              <w:jc w:val="both"/>
              <w:rPr>
                <w:rFonts w:ascii="Times New Roman" w:hAnsi="Times New Roman"/>
                <w:sz w:val="24"/>
              </w:rPr>
            </w:pPr>
            <w:r>
              <w:rPr>
                <w:rFonts w:ascii="Times New Roman" w:hAnsi="Times New Roman"/>
                <w:sz w:val="24"/>
              </w:rPr>
              <w:t>тел. (068) 318 - 70 - 14, e-mail: zdldpsswork@ukr.net</w:t>
            </w:r>
          </w:p>
        </w:tc>
      </w:tr>
      <w:tr>
        <w:trPr>
          <w:trHeight w:hRule="atLeast" w:val="15"/>
        </w:trPr>
        <w:tc>
          <w:tcPr>
            <w:tcW w:w="705" w:type="dxa"/>
          </w:tcPr>
          <w:p>
            <w:pPr>
              <w:jc w:val="center"/>
              <w:rPr>
                <w:rFonts w:ascii="Times New Roman" w:hAnsi="Times New Roman"/>
                <w:sz w:val="24"/>
              </w:rPr>
            </w:pPr>
            <w:r>
              <w:rPr>
                <w:rFonts w:ascii="Times New Roman" w:hAnsi="Times New Roman"/>
                <w:color w:val="000000"/>
                <w:sz w:val="24"/>
              </w:rPr>
              <w:t>3</w:t>
            </w:r>
          </w:p>
        </w:tc>
        <w:tc>
          <w:tcPr>
            <w:tcW w:w="2835" w:type="dxa"/>
          </w:tcPr>
          <w:p>
            <w:pPr>
              <w:rPr>
                <w:rFonts w:ascii="Times New Roman" w:hAnsi="Times New Roman"/>
                <w:sz w:val="24"/>
              </w:rPr>
            </w:pPr>
            <w:r>
              <w:rPr>
                <w:rFonts w:ascii="Times New Roman" w:hAnsi="Times New Roman"/>
                <w:b w:val="1"/>
                <w:color w:val="000000"/>
                <w:sz w:val="24"/>
              </w:rPr>
              <w:t>Процедура закупівлі</w:t>
            </w:r>
          </w:p>
        </w:tc>
        <w:tc>
          <w:tcPr>
            <w:tcW w:w="6420" w:type="dxa"/>
          </w:tcPr>
          <w:p>
            <w:pPr>
              <w:jc w:val="both"/>
              <w:rPr>
                <w:rFonts w:ascii="Times New Roman" w:hAnsi="Times New Roman"/>
                <w:color w:val="4A86E8"/>
                <w:sz w:val="24"/>
              </w:rPr>
            </w:pPr>
            <w:r>
              <w:rPr>
                <w:rFonts w:ascii="Times New Roman" w:hAnsi="Times New Roman"/>
                <w:color w:val="000000"/>
                <w:sz w:val="24"/>
              </w:rPr>
              <w:t>відкриті торги</w:t>
            </w:r>
            <w:r>
              <w:rPr>
                <w:rFonts w:ascii="Times New Roman" w:hAnsi="Times New Roman"/>
                <w:color w:val="auto"/>
                <w:sz w:val="24"/>
              </w:rPr>
              <w:t xml:space="preserve"> з особливостями</w:t>
            </w:r>
          </w:p>
        </w:tc>
      </w:tr>
      <w:tr>
        <w:trPr>
          <w:trHeight w:hRule="atLeast" w:val="240"/>
        </w:trPr>
        <w:tc>
          <w:tcPr>
            <w:tcW w:w="705" w:type="dxa"/>
          </w:tcPr>
          <w:p>
            <w:pPr>
              <w:jc w:val="center"/>
              <w:rPr>
                <w:rFonts w:ascii="Times New Roman" w:hAnsi="Times New Roman"/>
                <w:sz w:val="24"/>
              </w:rPr>
            </w:pPr>
            <w:r>
              <w:rPr>
                <w:rFonts w:ascii="Times New Roman" w:hAnsi="Times New Roman"/>
                <w:color w:val="000000"/>
                <w:sz w:val="24"/>
              </w:rPr>
              <w:t>4</w:t>
            </w:r>
          </w:p>
        </w:tc>
        <w:tc>
          <w:tcPr>
            <w:tcW w:w="2835" w:type="dxa"/>
          </w:tcPr>
          <w:p>
            <w:pPr>
              <w:rPr>
                <w:rFonts w:ascii="Times New Roman" w:hAnsi="Times New Roman"/>
                <w:sz w:val="24"/>
              </w:rPr>
            </w:pPr>
            <w:r>
              <w:rPr>
                <w:rFonts w:ascii="Times New Roman" w:hAnsi="Times New Roman"/>
                <w:b w:val="1"/>
                <w:color w:val="000000"/>
                <w:sz w:val="24"/>
              </w:rPr>
              <w:t>Інформація про предмет закупівлі</w:t>
            </w:r>
          </w:p>
        </w:tc>
        <w:tc>
          <w:tcPr>
            <w:tcW w:w="6420" w:type="dxa"/>
          </w:tcPr>
          <w:p>
            <w:pPr>
              <w:jc w:val="both"/>
              <w:rPr>
                <w:rFonts w:ascii="Times New Roman" w:hAnsi="Times New Roman"/>
                <w:sz w:val="24"/>
              </w:rPr>
            </w:pPr>
            <w:r>
              <w:rPr>
                <w:rFonts w:ascii="Times New Roman" w:hAnsi="Times New Roman"/>
                <w:i w:val="1"/>
                <w:color w:val="000000"/>
                <w:sz w:val="24"/>
              </w:rPr>
              <w:t> </w:t>
            </w:r>
          </w:p>
        </w:tc>
      </w:tr>
      <w:tr>
        <w:tc>
          <w:tcPr>
            <w:tcW w:w="705" w:type="dxa"/>
          </w:tcPr>
          <w:p>
            <w:pPr>
              <w:jc w:val="center"/>
              <w:rPr>
                <w:rFonts w:ascii="Times New Roman" w:hAnsi="Times New Roman"/>
                <w:sz w:val="24"/>
              </w:rPr>
            </w:pPr>
            <w:r>
              <w:rPr>
                <w:rFonts w:ascii="Times New Roman" w:hAnsi="Times New Roman"/>
                <w:color w:val="000000"/>
                <w:sz w:val="24"/>
              </w:rPr>
              <w:t>4.1</w:t>
            </w:r>
          </w:p>
        </w:tc>
        <w:tc>
          <w:tcPr>
            <w:tcW w:w="2835" w:type="dxa"/>
          </w:tcPr>
          <w:p>
            <w:pPr>
              <w:rPr>
                <w:rFonts w:ascii="Times New Roman" w:hAnsi="Times New Roman"/>
                <w:sz w:val="24"/>
              </w:rPr>
            </w:pPr>
            <w:r>
              <w:rPr>
                <w:rFonts w:ascii="Times New Roman" w:hAnsi="Times New Roman"/>
                <w:color w:val="000000"/>
                <w:sz w:val="24"/>
              </w:rPr>
              <w:t>назва предмета закупівлі</w:t>
            </w:r>
          </w:p>
        </w:tc>
        <w:tc>
          <w:tcPr>
            <w:tcW w:w="6420" w:type="dxa"/>
          </w:tcPr>
          <w:p>
            <w:pPr>
              <w:tabs>
                <w:tab w:val="left" w:pos="426" w:leader="none"/>
                <w:tab w:val="left" w:pos="567" w:leader="none"/>
              </w:tabs>
              <w:ind w:firstLine="0" w:left="0"/>
              <w:jc w:val="both"/>
              <w:rPr>
                <w:rFonts w:ascii="Times New Roman" w:hAnsi="Times New Roman"/>
                <w:b w:val="1"/>
                <w:color w:val="000000"/>
                <w:sz w:val="24"/>
                <w:shd w:val="clear" w:fill="FFFFFF"/>
              </w:rPr>
            </w:pPr>
            <w:bookmarkStart w:id="3" w:name="_heading=h.1fob9te"/>
            <w:bookmarkEnd w:id="3"/>
            <w:r>
              <w:rPr>
                <w:rFonts w:ascii="Times New Roman" w:hAnsi="Times New Roman"/>
                <w:b w:val="1"/>
                <w:sz w:val="24"/>
                <w:shd w:val="clear" w:fill="FFFFFF"/>
              </w:rPr>
              <w:t xml:space="preserve">Природний газ, код 09120000-6 «Газове паливо» за ДК 021:2015 </w:t>
            </w:r>
            <w:r>
              <w:rPr>
                <w:rFonts w:ascii="Times New Roman" w:hAnsi="Times New Roman"/>
                <w:sz w:val="24"/>
                <w:shd w:val="clear" w:fill="FFFFFF"/>
              </w:rPr>
              <w:t>Єдиного закупівельного словника</w:t>
            </w:r>
          </w:p>
        </w:tc>
      </w:tr>
      <w:tr>
        <w:trPr>
          <w:trHeight w:hRule="atLeast" w:val="1119"/>
        </w:trPr>
        <w:tc>
          <w:tcPr>
            <w:tcW w:w="705" w:type="dxa"/>
          </w:tcPr>
          <w:p>
            <w:pPr>
              <w:widowControl w:val="0"/>
              <w:jc w:val="center"/>
              <w:rPr>
                <w:rFonts w:ascii="Times New Roman" w:hAnsi="Times New Roman"/>
                <w:color w:val="000000"/>
                <w:sz w:val="24"/>
              </w:rPr>
            </w:pPr>
            <w:r>
              <w:rPr>
                <w:rFonts w:ascii="Times New Roman" w:hAnsi="Times New Roman"/>
                <w:color w:val="000000"/>
                <w:sz w:val="24"/>
              </w:rPr>
              <w:t>4.2</w:t>
            </w:r>
          </w:p>
        </w:tc>
        <w:tc>
          <w:tcPr>
            <w:tcW w:w="2835" w:type="dxa"/>
          </w:tcPr>
          <w:p>
            <w:pPr>
              <w:widowControl w:val="0"/>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hAnsi="Times New Roman"/>
                <w:color w:val="000000"/>
                <w:sz w:val="24"/>
              </w:rPr>
            </w:pPr>
          </w:p>
          <w:p>
            <w:pPr>
              <w:widowControl w:val="0"/>
              <w:ind w:right="120"/>
              <w:jc w:val="both"/>
              <w:rPr>
                <w:rFonts w:ascii="Times New Roman" w:hAnsi="Times New Roman"/>
                <w:color w:val="000000"/>
                <w:sz w:val="24"/>
                <w:shd w:val="clear" w:fill="FFFF00"/>
              </w:rPr>
            </w:pPr>
            <w:r>
              <w:rPr>
                <w:rFonts w:ascii="Times New Roman" w:hAnsi="Times New Roman"/>
                <w:color w:val="000000"/>
                <w:sz w:val="24"/>
              </w:rPr>
              <w:t>Закупівля здійснюється щодо предмет</w:t>
            </w:r>
            <w:r>
              <w:rPr>
                <w:rFonts w:ascii="Times New Roman" w:hAnsi="Times New Roman"/>
                <w:sz w:val="24"/>
              </w:rPr>
              <w:t>а</w:t>
            </w:r>
            <w:r>
              <w:rPr>
                <w:rFonts w:ascii="Times New Roman" w:hAnsi="Times New Roman"/>
                <w:color w:val="000000"/>
                <w:sz w:val="24"/>
              </w:rPr>
              <w:t xml:space="preserve"> закупівлі в цілому.</w:t>
            </w:r>
          </w:p>
          <w:p>
            <w:pPr>
              <w:widowControl w:val="0"/>
              <w:jc w:val="both"/>
              <w:rPr>
                <w:rFonts w:ascii="Times New Roman" w:hAnsi="Times New Roman"/>
                <w:i w:val="1"/>
                <w:color w:val="FF0000"/>
                <w:sz w:val="24"/>
                <w:shd w:val="clear" w:fill="FFFF00"/>
              </w:rPr>
            </w:pPr>
          </w:p>
        </w:tc>
      </w:tr>
      <w:tr>
        <w:trPr>
          <w:trHeight w:hRule="atLeast" w:val="930"/>
        </w:trPr>
        <w:tc>
          <w:tcPr>
            <w:tcW w:w="705" w:type="dxa"/>
          </w:tcPr>
          <w:p>
            <w:pPr>
              <w:widowControl w:val="0"/>
              <w:jc w:val="center"/>
              <w:rPr>
                <w:rFonts w:ascii="Times New Roman" w:hAnsi="Times New Roman"/>
                <w:sz w:val="24"/>
              </w:rPr>
            </w:pPr>
            <w:r>
              <w:rPr>
                <w:rFonts w:ascii="Times New Roman" w:hAnsi="Times New Roman"/>
                <w:color w:val="000000"/>
                <w:sz w:val="24"/>
              </w:rPr>
              <w:t>4.3</w:t>
            </w:r>
          </w:p>
        </w:tc>
        <w:tc>
          <w:tcPr>
            <w:tcW w:w="2835" w:type="dxa"/>
          </w:tcPr>
          <w:p>
            <w:pPr>
              <w:widowControl w:val="0"/>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pPr>
              <w:widowControl w:val="0"/>
              <w:rPr>
                <w:rFonts w:ascii="Times New Roman" w:hAnsi="Times New Roman"/>
                <w:color w:val="000000"/>
                <w:sz w:val="24"/>
                <w:shd w:val="clear" w:fill="FFFF00"/>
              </w:rPr>
            </w:pPr>
          </w:p>
        </w:tc>
        <w:tc>
          <w:tcPr>
            <w:tcW w:w="6420" w:type="dxa"/>
          </w:tcPr>
          <w:p>
            <w:pPr>
              <w:widowControl w:val="0"/>
              <w:ind w:right="120"/>
              <w:jc w:val="both"/>
              <w:rPr>
                <w:rFonts w:ascii="Times New Roman" w:hAnsi="Times New Roman"/>
                <w:color w:val="000000"/>
                <w:sz w:val="24"/>
              </w:rPr>
            </w:pPr>
            <w:r>
              <w:rPr>
                <w:rFonts w:ascii="Times New Roman" w:hAnsi="Times New Roman"/>
                <w:color w:val="000000"/>
                <w:sz w:val="24"/>
              </w:rPr>
              <w:t>Кількість: 1</w:t>
            </w:r>
            <w:r>
              <w:rPr>
                <w:rFonts w:ascii="Times New Roman" w:hAnsi="Times New Roman"/>
                <w:color w:val="000000"/>
                <w:sz w:val="24"/>
              </w:rPr>
              <w:t>8</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00 куб. м.</w:t>
            </w:r>
          </w:p>
          <w:p>
            <w:pPr>
              <w:widowControl w:val="0"/>
              <w:ind w:right="120"/>
              <w:jc w:val="both"/>
              <w:rPr>
                <w:rFonts w:ascii="Times New Roman" w:hAnsi="Times New Roman"/>
                <w:sz w:val="24"/>
              </w:rPr>
            </w:pPr>
            <w:r>
              <w:rPr>
                <w:rFonts w:ascii="Times New Roman" w:hAnsi="Times New Roman"/>
                <w:color w:val="000000"/>
                <w:sz w:val="24"/>
              </w:rPr>
              <w:t xml:space="preserve">Місце поставки товарів: </w:t>
            </w:r>
            <w:r>
              <w:rPr>
                <w:rFonts w:ascii="Times New Roman" w:hAnsi="Times New Roman"/>
                <w:sz w:val="24"/>
              </w:rPr>
              <w:t>Україна, Закарпатська область, м. Ужгород, вул. Минайська, буд. 39 (код EIC - 56XS00000JEK700S);</w:t>
            </w:r>
          </w:p>
          <w:p>
            <w:pPr>
              <w:widowControl w:val="0"/>
              <w:ind w:right="120"/>
              <w:jc w:val="both"/>
              <w:rPr>
                <w:rFonts w:ascii="Times New Roman" w:hAnsi="Times New Roman"/>
                <w:sz w:val="24"/>
              </w:rPr>
            </w:pPr>
          </w:p>
          <w:p>
            <w:pPr>
              <w:widowControl w:val="0"/>
              <w:ind w:right="120"/>
              <w:jc w:val="both"/>
              <w:rPr>
                <w:rFonts w:ascii="Times New Roman" w:hAnsi="Times New Roman"/>
                <w:i w:val="1"/>
                <w:color w:val="4A86E8"/>
                <w:sz w:val="20"/>
                <w:shd w:val="clear" w:fill="FFFFFF"/>
              </w:rPr>
            </w:pPr>
            <w:r>
              <w:rPr>
                <w:rFonts w:ascii="Times New Roman" w:hAnsi="Times New Roman"/>
                <w:sz w:val="24"/>
              </w:rPr>
              <w:t>Україна, Закарпатська область, м. Виноградів, вул. Франка Івана, буд. 131 (код EIC - 56ZS13A00JEK7011);</w:t>
            </w:r>
          </w:p>
        </w:tc>
      </w:tr>
      <w:tr>
        <w:trPr>
          <w:trHeight w:hRule="atLeast" w:val="645"/>
        </w:trPr>
        <w:tc>
          <w:tcPr>
            <w:tcW w:w="705" w:type="dxa"/>
          </w:tcPr>
          <w:p>
            <w:pPr>
              <w:widowControl w:val="0"/>
              <w:jc w:val="center"/>
              <w:rPr>
                <w:rFonts w:ascii="Times New Roman" w:hAnsi="Times New Roman"/>
                <w:sz w:val="24"/>
              </w:rPr>
            </w:pPr>
            <w:r>
              <w:rPr>
                <w:rFonts w:ascii="Times New Roman" w:hAnsi="Times New Roman"/>
                <w:color w:val="000000"/>
                <w:sz w:val="24"/>
              </w:rPr>
              <w:t>4.4</w:t>
            </w:r>
          </w:p>
        </w:tc>
        <w:tc>
          <w:tcPr>
            <w:tcW w:w="2835" w:type="dxa"/>
          </w:tcPr>
          <w:p>
            <w:pPr>
              <w:widowControl w:val="0"/>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420" w:type="dxa"/>
          </w:tcPr>
          <w:p>
            <w:pPr>
              <w:widowControl w:val="0"/>
              <w:rPr>
                <w:rFonts w:ascii="Times New Roman" w:hAnsi="Times New Roman"/>
                <w:sz w:val="24"/>
              </w:rPr>
            </w:pPr>
            <w:r>
              <w:rPr>
                <w:rFonts w:ascii="Times New Roman" w:hAnsi="Times New Roman"/>
                <w:sz w:val="24"/>
              </w:rPr>
              <w:t xml:space="preserve">З 01 </w:t>
            </w:r>
            <w:r>
              <w:rPr>
                <w:rFonts w:ascii="Times New Roman" w:hAnsi="Times New Roman"/>
                <w:sz w:val="24"/>
              </w:rPr>
              <w:t>січня</w:t>
            </w:r>
            <w:r>
              <w:rPr>
                <w:rFonts w:ascii="Times New Roman" w:hAnsi="Times New Roman"/>
                <w:sz w:val="24"/>
              </w:rPr>
              <w:t xml:space="preserve"> по </w:t>
            </w:r>
            <w:r>
              <w:rPr>
                <w:rFonts w:ascii="Times New Roman" w:hAnsi="Times New Roman"/>
                <w:sz w:val="24"/>
              </w:rPr>
              <w:t>15</w:t>
            </w:r>
            <w:r>
              <w:rPr>
                <w:rFonts w:ascii="Times New Roman" w:hAnsi="Times New Roman"/>
                <w:sz w:val="24"/>
              </w:rPr>
              <w:t xml:space="preserve"> </w:t>
            </w:r>
            <w:r>
              <w:rPr>
                <w:rFonts w:ascii="Times New Roman" w:hAnsi="Times New Roman"/>
                <w:sz w:val="24"/>
              </w:rPr>
              <w:t>квітня</w:t>
            </w:r>
            <w:r>
              <w:rPr>
                <w:rFonts w:ascii="Times New Roman" w:hAnsi="Times New Roman"/>
                <w:sz w:val="24"/>
              </w:rPr>
              <w:t xml:space="preserve"> 202</w:t>
            </w:r>
            <w:r>
              <w:rPr>
                <w:rFonts w:ascii="Times New Roman" w:hAnsi="Times New Roman"/>
                <w:sz w:val="24"/>
              </w:rPr>
              <w:t>4</w:t>
            </w:r>
            <w:r>
              <w:rPr>
                <w:rFonts w:ascii="Times New Roman" w:hAnsi="Times New Roman"/>
                <w:sz w:val="24"/>
              </w:rPr>
              <w:t xml:space="preserve"> року</w:t>
            </w:r>
          </w:p>
        </w:tc>
      </w:tr>
      <w:tr>
        <w:trPr>
          <w:trHeight w:hRule="atLeast" w:val="841"/>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35" w:type="dxa"/>
          </w:tcPr>
          <w:p>
            <w:pPr>
              <w:widowControl w:val="0"/>
              <w:rPr>
                <w:rFonts w:ascii="Times New Roman" w:hAnsi="Times New Roman"/>
                <w:sz w:val="24"/>
              </w:rPr>
            </w:pPr>
            <w:r>
              <w:rPr>
                <w:rFonts w:ascii="Times New Roman" w:hAnsi="Times New Roman"/>
                <w:b w:val="1"/>
                <w:color w:val="000000"/>
                <w:sz w:val="24"/>
              </w:rPr>
              <w:t>Недискримінація учасників</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35" w:type="dxa"/>
          </w:tcPr>
          <w:p>
            <w:pPr>
              <w:widowControl w:val="0"/>
              <w:rPr>
                <w:rFonts w:ascii="Times New Roman" w:hAnsi="Times New Roman"/>
                <w:sz w:val="24"/>
              </w:rPr>
            </w:pPr>
            <w:r>
              <w:rPr>
                <w:rFonts w:ascii="Times New Roman" w:hAnsi="Times New Roman"/>
                <w:b w:val="1"/>
                <w:color w:val="000000"/>
                <w:sz w:val="24"/>
              </w:rPr>
              <w:t>Валюта, у якій повинна бути зазначена ціна тендерної пропозиції</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rPr>
              <w:t xml:space="preserve"> </w:t>
            </w:r>
            <w:r>
              <w:rPr>
                <w:rFonts w:ascii="Times New Roman" w:hAnsi="Times New Roman"/>
                <w:b w:val="1"/>
                <w:i w:val="1"/>
                <w:color w:val="000000"/>
                <w:sz w:val="24"/>
              </w:rPr>
              <w:t>У разі якщо учасником процедури закупівлі є нерезидент</w:t>
            </w:r>
            <w:r>
              <w:rPr>
                <w:rFonts w:ascii="Times New Roman" w:hAnsi="Times New Roman"/>
                <w:b w:val="1"/>
                <w:color w:val="000000"/>
                <w:sz w:val="24"/>
              </w:rPr>
              <w:t xml:space="preserve">,  </w:t>
            </w:r>
            <w:r>
              <w:rPr>
                <w:rFonts w:ascii="Times New Roman" w:hAnsi="Times New Roman"/>
                <w:color w:val="000000"/>
                <w:sz w:val="24"/>
              </w:rPr>
              <w:t xml:space="preserve">такий </w:t>
            </w:r>
            <w:r>
              <w:rPr>
                <w:rFonts w:ascii="Times New Roman" w:hAnsi="Times New Roman"/>
                <w:sz w:val="24"/>
              </w:rPr>
              <w:t>у</w:t>
            </w:r>
            <w:r>
              <w:rPr>
                <w:rFonts w:ascii="Times New Roman" w:hAnsi="Times New Roman"/>
                <w:color w:val="000000"/>
                <w:sz w:val="24"/>
              </w:rPr>
              <w:t>часник зазначає ціну пропозиції в електронній системі закупівель у валюті – гривня.</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7</w:t>
            </w:r>
          </w:p>
        </w:tc>
        <w:tc>
          <w:tcPr>
            <w:tcW w:w="2835" w:type="dxa"/>
          </w:tcPr>
          <w:p>
            <w:pPr>
              <w:widowControl w:val="0"/>
              <w:rPr>
                <w:rFonts w:ascii="Times New Roman" w:hAnsi="Times New Roman"/>
                <w:sz w:val="24"/>
              </w:rPr>
            </w:pPr>
            <w:r>
              <w:rPr>
                <w:rFonts w:ascii="Times New Roman" w:hAnsi="Times New Roman"/>
                <w:b w:val="1"/>
                <w:color w:val="000000"/>
                <w:sz w:val="24"/>
              </w:rPr>
              <w:t xml:space="preserve">Мова (мови), якою  (якими) повинні бути  складені тендерні пропозиції</w:t>
            </w:r>
          </w:p>
        </w:tc>
        <w:tc>
          <w:tcPr>
            <w:tcW w:w="6420" w:type="dxa"/>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 xml:space="preserve">Розділ 2. Порядок </w:t>
            </w:r>
            <w:r>
              <w:rPr>
                <w:rFonts w:ascii="Times New Roman" w:hAnsi="Times New Roman"/>
                <w:b w:val="1"/>
                <w:sz w:val="24"/>
              </w:rPr>
              <w:t>в</w:t>
            </w:r>
            <w:r>
              <w:rPr>
                <w:rFonts w:ascii="Times New Roman" w:hAnsi="Times New Roman"/>
                <w:b w:val="1"/>
                <w:color w:val="000000"/>
                <w:sz w:val="24"/>
              </w:rPr>
              <w:t>несення змін та надання роз’яснень до тендерної документації</w:t>
            </w:r>
          </w:p>
        </w:tc>
      </w:tr>
      <w:tr>
        <w:trPr>
          <w:trHeight w:hRule="atLeast" w:val="1975"/>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shd w:val="clear" w:fill="FFFFFF"/>
              </w:rPr>
            </w:pPr>
            <w:r>
              <w:rPr>
                <w:rFonts w:ascii="Times New Roman" w:hAnsi="Times New Roman"/>
                <w:sz w:val="24"/>
                <w:shd w:val="clear"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повинен </w:t>
            </w:r>
            <w:r>
              <w:rPr>
                <w:rFonts w:ascii="Times New Roman" w:hAnsi="Times New Roman"/>
                <w:b w:val="1"/>
                <w:i w:val="1"/>
                <w:sz w:val="24"/>
                <w:shd w:val="clear" w:fill="FFFFFF"/>
              </w:rPr>
              <w:t>протягом трьох днів</w:t>
            </w:r>
            <w:r>
              <w:rPr>
                <w:rFonts w:ascii="Times New Roman" w:hAnsi="Times New Roman"/>
                <w:sz w:val="24"/>
                <w:shd w:val="clear" w:fill="FFFFFF"/>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shd w:val="clear" w:fill="FFFFFF"/>
              </w:rPr>
            </w:pPr>
            <w:r>
              <w:rPr>
                <w:rFonts w:ascii="Times New Roman" w:hAnsi="Times New Roman"/>
                <w:sz w:val="24"/>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sz w:val="24"/>
              </w:rPr>
            </w:pPr>
            <w:r>
              <w:rPr>
                <w:rFonts w:ascii="Times New Roman" w:hAnsi="Times New Roman"/>
                <w:sz w:val="24"/>
                <w:shd w:val="clear"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sz w:val="24"/>
                <w:shd w:val="clear" w:fill="FFFFFF"/>
              </w:rPr>
              <w:t>не</w:t>
            </w:r>
            <w:r>
              <w:rPr>
                <w:rFonts w:ascii="Times New Roman" w:hAnsi="Times New Roman"/>
                <w:b w:val="1"/>
                <w:sz w:val="24"/>
                <w:shd w:val="clear" w:fill="FFFFFF"/>
              </w:rPr>
              <w:t xml:space="preserve"> </w:t>
            </w:r>
            <w:r>
              <w:rPr>
                <w:rFonts w:ascii="Times New Roman" w:hAnsi="Times New Roman"/>
                <w:b w:val="1"/>
                <w:i w:val="1"/>
                <w:sz w:val="24"/>
                <w:shd w:val="clear" w:fill="FFFFFF"/>
              </w:rPr>
              <w:t>менш як на чотири дні</w:t>
            </w:r>
            <w:r>
              <w:rPr>
                <w:rFonts w:ascii="Times New Roman" w:hAnsi="Times New Roman"/>
                <w:b w:val="1"/>
                <w:sz w:val="24"/>
                <w:shd w:val="clear" w:fill="FFFFFF"/>
              </w:rPr>
              <w:t>.</w:t>
            </w:r>
          </w:p>
        </w:tc>
      </w:tr>
      <w:tr>
        <w:trPr>
          <w:trHeight w:hRule="atLeast" w:val="699"/>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Внесення змін до тендерної документації</w:t>
            </w:r>
          </w:p>
        </w:tc>
        <w:tc>
          <w:tcPr>
            <w:tcW w:w="6420" w:type="dxa"/>
          </w:tcPr>
          <w:p>
            <w:pP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"https://zakon.rada.gov.ua/laws/show/922-19#n960"</w:instrText>
            </w:r>
            <w:r>
              <w:rPr>
                <w:rFonts w:ascii="Times New Roman" w:hAnsi="Times New Roman"/>
                <w:sz w:val="24"/>
                <w:shd w:val="clear" w:fill="FFFFFF"/>
              </w:rPr>
              <w:fldChar w:fldCharType="separate"/>
            </w:r>
            <w:r>
              <w:rPr>
                <w:rFonts w:ascii="Times New Roman" w:hAnsi="Times New Roman"/>
                <w:sz w:val="24"/>
                <w:shd w:val="clear" w:fill="FFFFFF"/>
              </w:rPr>
              <w:t>статті 8</w:t>
            </w:r>
            <w:r>
              <w:rPr>
                <w:rFonts w:ascii="Times New Roman" w:hAnsi="Times New Roman"/>
                <w:sz w:val="24"/>
                <w:shd w:val="clear" w:fill="FFFFFF"/>
              </w:rPr>
              <w:fldChar w:fldCharType="end"/>
            </w:r>
            <w:r>
              <w:rPr>
                <w:rFonts w:ascii="Times New Roman" w:hAnsi="Times New Roman"/>
                <w:sz w:val="24"/>
                <w:shd w:val="clear"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rPr>
            </w:pPr>
            <w:r>
              <w:rPr>
                <w:rFonts w:ascii="Times New Roman" w:hAnsi="Times New Roman"/>
                <w:sz w:val="24"/>
                <w:shd w:val="clear"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shd w:val="clear"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i w:val="1"/>
                <w:sz w:val="24"/>
                <w:shd w:val="clear" w:fill="FFFFFF"/>
              </w:rPr>
              <w:t xml:space="preserve"> </w:t>
            </w:r>
            <w:r>
              <w:rPr>
                <w:rFonts w:ascii="Times New Roman" w:hAnsi="Times New Roman"/>
                <w:b w:val="1"/>
                <w:i w:val="1"/>
                <w:sz w:val="24"/>
                <w:shd w:val="clear" w:fill="FFFFFF"/>
              </w:rPr>
              <w:t>Замовник разом зі змінами до тендерної документації в окремому документі оприлюднює перелік змін</w:t>
            </w:r>
            <w:r>
              <w:rPr>
                <w:rFonts w:ascii="Times New Roman" w:hAnsi="Times New Roman"/>
                <w:i w:val="1"/>
                <w:sz w:val="24"/>
                <w:shd w:val="clear" w:fill="FFFFFF"/>
              </w:rPr>
              <w:t xml:space="preserve">, </w:t>
            </w:r>
            <w:r>
              <w:rPr>
                <w:rFonts w:ascii="Times New Roman" w:hAnsi="Times New Roman"/>
                <w:sz w:val="24"/>
                <w:shd w:val="clear" w:fill="FFFFFF"/>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3. Інструкція з підготовки тендерної пропозиції</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b w:val="1"/>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Зміст і спосіб подання тендерної пропозиції</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4"/>
                <w:shd w:val="clear" w:fill="FFFFFF"/>
              </w:rPr>
              <w:t xml:space="preserve">першої, четвертої, шостої та сьомої статті 26 Закону. </w:t>
            </w:r>
          </w:p>
          <w:p>
            <w:pPr>
              <w:widowControl w:val="0"/>
              <w:jc w:val="both"/>
              <w:rPr>
                <w:rFonts w:ascii="Times New Roman" w:hAnsi="Times New Roman"/>
                <w:sz w:val="24"/>
                <w:shd w:val="clear" w:fill="FFFFFF"/>
              </w:rPr>
            </w:pPr>
            <w:r>
              <w:rPr>
                <w:rFonts w:ascii="Times New Roman" w:hAnsi="Times New Roman"/>
                <w:sz w:val="24"/>
                <w:shd w:val="clear"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"https://zakon.rada.gov.ua/laws/show/922-19#n1261"</w:instrText>
            </w:r>
            <w:r>
              <w:rPr>
                <w:rFonts w:ascii="Times New Roman" w:hAnsi="Times New Roman"/>
                <w:sz w:val="24"/>
                <w:shd w:val="clear" w:fill="FFFFFF"/>
              </w:rPr>
              <w:fldChar w:fldCharType="separate"/>
            </w:r>
            <w:r>
              <w:rPr>
                <w:rFonts w:ascii="Times New Roman" w:hAnsi="Times New Roman"/>
                <w:sz w:val="24"/>
                <w:shd w:val="clear" w:fill="FFFFFF"/>
              </w:rPr>
              <w:t>пункті 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ind w:hanging="360" w:left="720"/>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val="1"/>
                <w:i w:val="1"/>
                <w:sz w:val="24"/>
              </w:rPr>
              <w:t>згідно</w:t>
            </w:r>
            <w:r>
              <w:rPr>
                <w:rFonts w:ascii="Times New Roman" w:hAnsi="Times New Roman"/>
                <w:sz w:val="24"/>
              </w:rPr>
              <w:t xml:space="preserve"> з </w:t>
            </w:r>
            <w:r>
              <w:rPr>
                <w:rFonts w:ascii="Times New Roman" w:hAnsi="Times New Roman"/>
                <w:b w:val="1"/>
                <w:i w:val="1"/>
                <w:sz w:val="24"/>
              </w:rPr>
              <w:t>Додатком 1</w:t>
            </w:r>
            <w:r>
              <w:rPr>
                <w:rFonts w:ascii="Times New Roman" w:hAnsi="Times New Roman"/>
                <w:sz w:val="24"/>
              </w:rPr>
              <w:t xml:space="preserve"> до цієї тендерної документації;</w:t>
            </w:r>
          </w:p>
          <w:p>
            <w:pPr>
              <w:widowControl w:val="0"/>
              <w:numPr>
                <w:ilvl w:val="0"/>
                <w:numId w:val="1"/>
              </w:numPr>
              <w:ind w:hanging="360" w:left="720"/>
              <w:jc w:val="both"/>
              <w:rPr>
                <w:rFonts w:ascii="Times New Roman" w:hAnsi="Times New Roman"/>
                <w:sz w:val="24"/>
              </w:rPr>
            </w:pPr>
            <w:r>
              <w:rPr>
                <w:rFonts w:ascii="Times New Roman" w:hAnsi="Times New Roman"/>
                <w:sz w:val="24"/>
              </w:rPr>
              <w:t>інформацією щодо відсутності підстав, установлених в пункт</w:t>
            </w:r>
            <w:r>
              <w:rPr>
                <w:rFonts w:ascii="Times New Roman" w:hAnsi="Times New Roman"/>
                <w:sz w:val="24"/>
                <w:shd w:val="clear" w:fill="FFFFFF"/>
              </w:rPr>
              <w:t xml:space="preserve">і 47 Особливостей, – </w:t>
            </w:r>
            <w:r>
              <w:rPr>
                <w:rFonts w:ascii="Times New Roman" w:hAnsi="Times New Roman"/>
                <w:b w:val="1"/>
                <w:i w:val="1"/>
                <w:sz w:val="24"/>
                <w:shd w:val="clear" w:fill="FFFFFF"/>
              </w:rPr>
              <w:t>згідно з Додатком 1</w:t>
            </w:r>
            <w:r>
              <w:rPr>
                <w:rFonts w:ascii="Times New Roman" w:hAnsi="Times New Roman"/>
                <w:sz w:val="24"/>
                <w:shd w:val="clear" w:fill="FFFFFF"/>
              </w:rPr>
              <w:t xml:space="preserve"> до цієї тендерної документації;</w:t>
            </w:r>
          </w:p>
          <w:p>
            <w:pPr>
              <w:widowControl w:val="0"/>
              <w:numPr>
                <w:ilvl w:val="0"/>
                <w:numId w:val="1"/>
              </w:numPr>
              <w:ind w:hanging="360" w:left="720"/>
              <w:jc w:val="both"/>
              <w:rPr>
                <w:rFonts w:ascii="Times New Roman" w:hAnsi="Times New Roman"/>
                <w:sz w:val="24"/>
              </w:rPr>
            </w:pPr>
            <w:r>
              <w:rPr>
                <w:rFonts w:ascii="Times New Roman" w:hAnsi="Times New Roman"/>
                <w:sz w:val="24"/>
                <w:shd w:val="clear"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w:t>
            </w:r>
            <w:r>
              <w:rPr>
                <w:rFonts w:ascii="Times New Roman" w:hAnsi="Times New Roman"/>
                <w:sz w:val="24"/>
              </w:rPr>
              <w:t xml:space="preserve">Особливостей, - згідно з </w:t>
            </w:r>
            <w:r>
              <w:rPr>
                <w:rFonts w:ascii="Times New Roman" w:hAnsi="Times New Roman"/>
                <w:b w:val="1"/>
                <w:i w:val="1"/>
                <w:sz w:val="24"/>
              </w:rPr>
              <w:t xml:space="preserve">Додатком 1 </w:t>
            </w:r>
            <w:r>
              <w:rPr>
                <w:rFonts w:ascii="Times New Roman" w:hAnsi="Times New Roman"/>
                <w:sz w:val="24"/>
              </w:rPr>
              <w:t>до цієї тендерної документації;</w:t>
            </w:r>
          </w:p>
          <w:p>
            <w:pPr>
              <w:widowControl w:val="0"/>
              <w:numPr>
                <w:ilvl w:val="0"/>
                <w:numId w:val="2"/>
              </w:numPr>
              <w:ind w:hanging="360" w:left="720"/>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
              </w:numPr>
              <w:ind w:hanging="360" w:left="720"/>
              <w:jc w:val="both"/>
              <w:rPr>
                <w:rFonts w:ascii="Times New Roman" w:hAnsi="Times New Roman"/>
                <w:sz w:val="24"/>
              </w:rPr>
            </w:pPr>
            <w:r>
              <w:rPr>
                <w:rFonts w:ascii="Times New Roman" w:hAnsi="Times New Roman"/>
                <w:sz w:val="24"/>
              </w:rPr>
              <w:t>інша інформація та документи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sz w:val="24"/>
                <w:shd w:val="clear" w:fill="FFFFFF"/>
              </w:rPr>
            </w:pPr>
            <w:r>
              <w:rPr>
                <w:rFonts w:ascii="Times New Roman" w:hAnsi="Times New Roman"/>
                <w:sz w:val="24"/>
                <w:shd w:val="clear" w:fill="FFFFFF"/>
              </w:rPr>
              <w:t xml:space="preserve">Переможець процедури закупівлі у строк, що не перевищує </w:t>
            </w:r>
            <w:r>
              <w:rPr>
                <w:rFonts w:ascii="Times New Roman" w:hAnsi="Times New Roman"/>
                <w:b w:val="1"/>
                <w:sz w:val="24"/>
                <w:u w:val="single"/>
                <w:shd w:val="clear"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hd w:val="clear" w:fill="FFFFFF"/>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both"/>
              <w:rPr>
                <w:rFonts w:ascii="Times New Roman" w:hAnsi="Times New Roman"/>
                <w:b w:val="1"/>
                <w:sz w:val="24"/>
              </w:rPr>
            </w:pPr>
            <w:r>
              <w:rPr>
                <w:rFonts w:ascii="Times New Roman" w:hAnsi="Times New Roman"/>
                <w:b w:val="1"/>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b w:val="1"/>
                <w:i w:val="1"/>
                <w:sz w:val="24"/>
              </w:rPr>
            </w:pPr>
            <w:r>
              <w:rPr>
                <w:rFonts w:ascii="Times New Roman" w:hAnsi="Times New Roman"/>
                <w:b w:val="1"/>
                <w:i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i w:val="1"/>
                <w:sz w:val="24"/>
                <w:u w:val="single"/>
              </w:rPr>
            </w:pPr>
            <w:r>
              <w:rPr>
                <w:rFonts w:ascii="Times New Roman" w:hAnsi="Times New Roman"/>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w:t>
              <w:tab/>
              <w:t>уживання великої літери;</w:t>
            </w:r>
          </w:p>
          <w:p>
            <w:pPr>
              <w:widowControl w:val="0"/>
              <w:jc w:val="both"/>
              <w:rPr>
                <w:rFonts w:ascii="Times New Roman" w:hAnsi="Times New Roman"/>
                <w:sz w:val="24"/>
              </w:rPr>
            </w:pPr>
            <w:r>
              <w:rPr>
                <w:rFonts w:ascii="Times New Roman" w:hAnsi="Times New Roman"/>
                <w:sz w:val="24"/>
              </w:rPr>
              <w:t>—</w:t>
              <w:tab/>
              <w:t>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w:t>
              <w:tab/>
              <w:t>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sz w:val="24"/>
              </w:rPr>
            </w:pPr>
            <w:r>
              <w:rPr>
                <w:rFonts w:ascii="Times New Roman" w:hAnsi="Times New Roman"/>
                <w:sz w:val="24"/>
              </w:rPr>
              <w:t>—</w:t>
              <w:tab/>
              <w:t>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w:t>
              <w:tab/>
              <w:t>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xml:space="preserve">—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widowControl w:val="0"/>
              <w:jc w:val="both"/>
              <w:rPr>
                <w:rFonts w:ascii="Times New Roman" w:hAnsi="Times New Roman"/>
                <w:sz w:val="24"/>
              </w:rPr>
            </w:pPr>
            <w:r>
              <w:rPr>
                <w:rFonts w:ascii="Times New Roman" w:hAnsi="Times New Roman"/>
                <w:sz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i w:val="1"/>
                <w:sz w:val="24"/>
                <w:u w:val="single"/>
              </w:rPr>
            </w:pPr>
            <w:r>
              <w:rPr>
                <w:rFonts w:ascii="Times New Roman" w:hAnsi="Times New Roman"/>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«м.київ» замість «м.Київ»;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color w:val="000000"/>
                <w:sz w:val="24"/>
              </w:rPr>
            </w:pPr>
            <w:r>
              <w:rPr>
                <w:rFonts w:ascii="Times New Roman" w:hAnsi="Times New Roman"/>
                <w:color w:val="000000"/>
                <w:sz w:val="24"/>
              </w:rPr>
              <w:t xml:space="preserve">Документи,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у складі тендерної пропозиції, не може бути підставою для її відхилення замовником.</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УВАГА!!!</w:t>
            </w:r>
          </w:p>
          <w:p>
            <w:pPr>
              <w:widowControl w:val="0"/>
              <w:jc w:val="both"/>
              <w:rPr>
                <w:rFonts w:ascii="Times New Roman" w:hAnsi="Times New Roman"/>
                <w:b w:val="1"/>
                <w:color w:val="000000"/>
                <w:sz w:val="24"/>
              </w:rPr>
            </w:pPr>
            <w:bookmarkStart w:id="4" w:name="_heading=h.3znysh7"/>
            <w:bookmarkEnd w:id="4"/>
            <w:r>
              <w:rPr>
                <w:rFonts w:ascii="Times New Roman" w:hAnsi="Times New Roman"/>
                <w:b w:val="1"/>
                <w:color w:val="000000"/>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b w:val="1"/>
                <w:color w:val="000000"/>
                <w:sz w:val="24"/>
              </w:rPr>
            </w:pPr>
            <w:r>
              <w:rPr>
                <w:rFonts w:ascii="Times New Roman" w:hAnsi="Times New Roman"/>
                <w:b w:val="1"/>
                <w:color w:val="000000"/>
                <w:sz w:val="24"/>
              </w:rPr>
              <w:t>1) документи мають бути чіткими та розбірливими для читання;</w:t>
            </w:r>
          </w:p>
          <w:p>
            <w:pPr>
              <w:jc w:val="both"/>
              <w:rPr>
                <w:rFonts w:ascii="Times New Roman" w:hAnsi="Times New Roman"/>
                <w:b w:val="1"/>
                <w:color w:val="000000"/>
                <w:sz w:val="24"/>
              </w:rPr>
            </w:pPr>
            <w:r>
              <w:rPr>
                <w:rFonts w:ascii="Times New Roman" w:hAnsi="Times New Roman"/>
                <w:b w:val="1"/>
                <w:color w:val="000000"/>
                <w:sz w:val="24"/>
              </w:rPr>
              <w:t>2) тендерна</w:t>
            </w:r>
            <w:r>
              <w:rPr>
                <w:rFonts w:ascii="Times New Roman" w:hAnsi="Times New Roman"/>
                <w:b w:val="1"/>
                <w:color w:val="auto"/>
                <w:sz w:val="24"/>
              </w:rPr>
              <w:t xml:space="preserve"> пропозиція учасника повинна бути підписана  кваліфікованим електронним підписом (КЕП) / удосконаленим електронним підписом (УЕП)</w:t>
            </w:r>
            <w:r>
              <w:rPr>
                <w:rFonts w:ascii="Times New Roman" w:hAnsi="Times New Roman"/>
                <w:b w:val="1"/>
                <w:color w:val="000000"/>
                <w:sz w:val="24"/>
              </w:rPr>
              <w:t>;</w:t>
            </w:r>
          </w:p>
          <w:p>
            <w:pPr>
              <w:jc w:val="both"/>
              <w:rPr>
                <w:rFonts w:ascii="Times New Roman" w:hAnsi="Times New Roman"/>
                <w:b w:val="1"/>
                <w:color w:val="000000"/>
                <w:sz w:val="24"/>
              </w:rPr>
            </w:pPr>
            <w:r>
              <w:rPr>
                <w:rFonts w:ascii="Times New Roman" w:hAnsi="Times New Roman"/>
                <w:b w:val="1"/>
                <w:color w:val="000000"/>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b w:val="1"/>
                <w:color w:val="000000"/>
                <w:sz w:val="24"/>
              </w:rPr>
            </w:pPr>
            <w:r>
              <w:rPr>
                <w:rFonts w:ascii="Times New Roman" w:hAnsi="Times New Roman"/>
                <w:b w:val="1"/>
                <w:color w:val="000000"/>
                <w:sz w:val="24"/>
              </w:rPr>
              <w:t>Винятки:</w:t>
            </w:r>
          </w:p>
          <w:p>
            <w:pPr>
              <w:jc w:val="both"/>
              <w:rPr>
                <w:rFonts w:ascii="Times New Roman" w:hAnsi="Times New Roman"/>
                <w:b w:val="1"/>
                <w:color w:val="000000"/>
                <w:sz w:val="24"/>
              </w:rPr>
            </w:pPr>
            <w:r>
              <w:rPr>
                <w:rFonts w:ascii="Times New Roman" w:hAnsi="Times New Roman"/>
                <w:b w:val="1"/>
                <w:color w:val="000000"/>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b w:val="1"/>
                <w:color w:val="000000"/>
                <w:sz w:val="24"/>
              </w:rPr>
            </w:pPr>
            <w:r>
              <w:rPr>
                <w:rFonts w:ascii="Times New Roman" w:hAnsi="Times New Roman"/>
                <w:b w:val="1"/>
                <w:color w:val="000000"/>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b w:val="1"/>
                <w:sz w:val="24"/>
              </w:rPr>
            </w:pPr>
            <w:r>
              <w:rPr>
                <w:rFonts w:ascii="Times New Roman" w:hAnsi="Times New Roman"/>
                <w:b w:val="1"/>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val="1"/>
                <w:sz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color w:val="0D0D0D"/>
                <w:sz w:val="24"/>
              </w:rPr>
            </w:pPr>
            <w:bookmarkStart w:id="5" w:name="_heading=h.2et92p0"/>
            <w:bookmarkEnd w:id="5"/>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pPr>
              <w:widowControl w:val="0"/>
              <w:jc w:val="both"/>
              <w:rPr>
                <w:rFonts w:ascii="Times New Roman" w:hAnsi="Times New Roman"/>
                <w:sz w:val="24"/>
              </w:rPr>
            </w:pPr>
            <w:bookmarkStart w:id="6" w:name="_heading=h.hjqm8skarbdr"/>
            <w:bookmarkEnd w:id="6"/>
            <w:r>
              <w:rPr>
                <w:rFonts w:ascii="Times New Roman" w:hAnsi="Times New Roman"/>
                <w:sz w:val="24"/>
              </w:rPr>
              <w:t xml:space="preserve">Тендерні пропозиції мають право подавати всі заінтересовані особи. </w:t>
            </w:r>
          </w:p>
          <w:p>
            <w:pPr>
              <w:widowControl w:val="0"/>
              <w:jc w:val="both"/>
              <w:rPr>
                <w:rFonts w:ascii="Times New Roman" w:hAnsi="Times New Roman"/>
                <w:color w:val="000000"/>
                <w:sz w:val="24"/>
                <w:shd w:val="clear" w:fill="FFFF00"/>
              </w:rPr>
            </w:pPr>
            <w:bookmarkStart w:id="7" w:name="_heading=h.ftj7vaqoric"/>
            <w:bookmarkEnd w:id="7"/>
            <w:r>
              <w:rPr>
                <w:rFonts w:ascii="Times New Roman" w:hAnsi="Times New Roman"/>
                <w:sz w:val="24"/>
              </w:rPr>
              <w:t>Кожен учасник має право подати тільки одну тендерну пропозицію.</w:t>
            </w:r>
          </w:p>
        </w:tc>
      </w:tr>
      <w:tr>
        <w:trPr>
          <w:trHeight w:hRule="atLeast" w:val="913"/>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bookmarkStart w:id="8" w:name="_heading=h.tyjcwt"/>
            <w:bookmarkEnd w:id="8"/>
            <w:r>
              <w:rPr>
                <w:rFonts w:ascii="Times New Roman" w:hAnsi="Times New Roman"/>
                <w:b w:val="1"/>
                <w:color w:val="000000"/>
                <w:sz w:val="24"/>
              </w:rPr>
              <w:t>Забезпечення тендерної пропозиції</w:t>
            </w:r>
          </w:p>
        </w:tc>
        <w:tc>
          <w:tcPr>
            <w:tcW w:w="6420" w:type="dxa"/>
            <w:vAlign w:val="center"/>
          </w:tcPr>
          <w:p>
            <w:pPr>
              <w:widowControl w:val="0"/>
              <w:ind w:right="120"/>
              <w:jc w:val="both"/>
              <w:rPr>
                <w:rFonts w:ascii="Times New Roman" w:hAnsi="Times New Roman"/>
                <w:sz w:val="24"/>
                <w:shd w:val="clear" w:fill="FFFF00"/>
              </w:rPr>
            </w:pPr>
            <w:r>
              <w:rPr>
                <w:rFonts w:ascii="Times New Roman" w:hAnsi="Times New Roman"/>
                <w:sz w:val="24"/>
              </w:rPr>
              <w:t>Забезпечення тендерної пропозиції  не вимагається.</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Умови повернення чи неповернення забезпечення тендерної пропозиції</w:t>
            </w:r>
          </w:p>
        </w:tc>
        <w:tc>
          <w:tcPr>
            <w:tcW w:w="6420" w:type="dxa"/>
            <w:vAlign w:val="center"/>
          </w:tcPr>
          <w:p>
            <w:pPr>
              <w:keepNext w:val="0"/>
              <w:keepLines w:val="0"/>
              <w:widowControl w:val="0"/>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120"/>
              <w:jc w:val="both"/>
              <w:rPr>
                <w:rFonts w:ascii="Times New Roman" w:hAnsi="Times New Roman"/>
                <w:sz w:val="24"/>
                <w:shd w:val="clear" w:fill="FFFF00"/>
              </w:rPr>
            </w:pPr>
            <w:r>
              <w:rPr>
                <w:rFonts w:ascii="Times New Roman" w:hAnsi="Times New Roman"/>
                <w:sz w:val="24"/>
              </w:rPr>
              <w:t>Не передбачається.</w:t>
            </w:r>
          </w:p>
        </w:tc>
      </w:tr>
      <w:tr>
        <w:trPr>
          <w:trHeight w:hRule="atLeast" w:val="560"/>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35" w:type="dxa"/>
          </w:tcPr>
          <w:p>
            <w:pPr>
              <w:widowControl w:val="0"/>
              <w:rPr>
                <w:rFonts w:ascii="Times New Roman" w:hAnsi="Times New Roman"/>
                <w:sz w:val="24"/>
              </w:rPr>
            </w:pPr>
            <w:r>
              <w:rPr>
                <w:rFonts w:ascii="Times New Roman" w:hAnsi="Times New Roman"/>
                <w:b w:val="1"/>
                <w:color w:val="000000"/>
                <w:sz w:val="24"/>
              </w:rPr>
              <w:t>Строк, протягом якого тендерні пропозиції є дійсними</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val="1"/>
                <w:i w:val="1"/>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sz w:val="24"/>
              </w:rPr>
              <w:t>(у разі, якщо таке вимагалося)</w:t>
            </w:r>
            <w:r>
              <w:rPr>
                <w:rFonts w:ascii="Times New Roman" w:hAnsi="Times New Roman"/>
                <w:sz w:val="24"/>
              </w:rPr>
              <w:t>.</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5</w:t>
            </w:r>
          </w:p>
        </w:tc>
        <w:tc>
          <w:tcPr>
            <w:tcW w:w="2835" w:type="dxa"/>
          </w:tcPr>
          <w:p>
            <w:pPr>
              <w:widowControl w:val="0"/>
              <w:rPr>
                <w:rFonts w:ascii="Times New Roman" w:hAnsi="Times New Roman"/>
                <w:sz w:val="24"/>
              </w:rPr>
            </w:pPr>
            <w:r>
              <w:rPr>
                <w:rFonts w:ascii="Times New Roman" w:hAnsi="Times New Roman"/>
                <w:b w:val="1"/>
                <w:sz w:val="24"/>
              </w:rPr>
              <w:t xml:space="preserve">Кваліфікаційні критерії до учасників та вимоги, згідно  з пунктом 28  та пунктом </w:t>
            </w:r>
            <w:r>
              <w:rPr>
                <w:rFonts w:ascii="Times New Roman" w:hAnsi="Times New Roman"/>
                <w:b w:val="1"/>
                <w:sz w:val="24"/>
                <w:shd w:val="clear" w:fill="FFFFFF"/>
              </w:rPr>
              <w:t xml:space="preserve">47 </w:t>
            </w:r>
            <w:r>
              <w:rPr>
                <w:rFonts w:ascii="Times New Roman" w:hAnsi="Times New Roman"/>
                <w:b w:val="1"/>
                <w:sz w:val="24"/>
              </w:rPr>
              <w:t xml:space="preserve"> Особливостей</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hAnsi="Times New Roman"/>
                <w:b w:val="1"/>
                <w:i w:val="1"/>
                <w:sz w:val="24"/>
              </w:rPr>
              <w:t>Додатку 1</w:t>
            </w:r>
            <w:r>
              <w:rPr>
                <w:rFonts w:ascii="Times New Roman" w:hAnsi="Times New Roman"/>
                <w:i w:val="1"/>
                <w:sz w:val="24"/>
              </w:rPr>
              <w:t xml:space="preserve"> </w:t>
            </w:r>
            <w:r>
              <w:rPr>
                <w:rFonts w:ascii="Times New Roman" w:hAnsi="Times New Roman"/>
                <w:sz w:val="24"/>
              </w:rPr>
              <w:t xml:space="preserve">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b w:val="1"/>
                <w:sz w:val="24"/>
              </w:rPr>
              <w:t xml:space="preserve"> </w:t>
            </w:r>
            <w:r>
              <w:rPr>
                <w:rFonts w:ascii="Times New Roman" w:hAnsi="Times New Roman"/>
                <w:b w:val="1"/>
                <w:i w:val="1"/>
                <w:sz w:val="24"/>
              </w:rPr>
              <w:t>Додатку 1</w:t>
            </w:r>
            <w:r>
              <w:rPr>
                <w:rFonts w:ascii="Times New Roman" w:hAnsi="Times New Roman"/>
                <w:sz w:val="24"/>
              </w:rPr>
              <w:t xml:space="preserve"> до цієї тендерної документації. </w:t>
            </w:r>
          </w:p>
          <w:p>
            <w:pPr>
              <w:widowControl w:val="0"/>
              <w:ind w:right="120"/>
              <w:jc w:val="both"/>
              <w:rPr>
                <w:rFonts w:ascii="Times New Roman" w:hAnsi="Times New Roman"/>
                <w:b w:val="1"/>
                <w:sz w:val="24"/>
              </w:rPr>
            </w:pPr>
            <w:r>
              <w:rPr>
                <w:rFonts w:ascii="Times New Roman" w:hAnsi="Times New Roman"/>
                <w:b w:val="1"/>
                <w:sz w:val="24"/>
              </w:rPr>
              <w:t xml:space="preserve">Підстави, визначені пунктом </w:t>
            </w:r>
            <w:r>
              <w:rPr>
                <w:rFonts w:ascii="Times New Roman" w:hAnsi="Times New Roman"/>
                <w:b w:val="1"/>
                <w:sz w:val="24"/>
                <w:shd w:val="clear" w:fill="FFFFFF"/>
              </w:rPr>
              <w:t xml:space="preserve">47 </w:t>
            </w:r>
            <w:r>
              <w:rPr>
                <w:rFonts w:ascii="Times New Roman" w:hAnsi="Times New Roman"/>
                <w:b w:val="1"/>
                <w:sz w:val="24"/>
              </w:rPr>
              <w:t>Особливостей.</w:t>
            </w:r>
          </w:p>
          <w:p>
            <w:pPr>
              <w:widowControl w:val="0"/>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67"/>
              <w:jc w:val="both"/>
              <w:rPr>
                <w:rFonts w:ascii="Times New Roman" w:hAnsi="Times New Roman"/>
                <w:sz w:val="24"/>
              </w:rPr>
            </w:pPr>
            <w:r>
              <w:rPr>
                <w:rFonts w:ascii="Times New Roman" w:hAnsi="Times New Roman"/>
                <w:sz w:val="28"/>
              </w:rPr>
              <w:t>3</w:t>
            </w:r>
            <w:r>
              <w:rPr>
                <w:rFonts w:ascii="Times New Roman" w:hAnsi="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"https://zakon.rada.gov.ua/laws/show/2210-14#n52"</w:instrText>
            </w:r>
            <w:r>
              <w:rPr>
                <w:rFonts w:ascii="Times New Roman" w:hAnsi="Times New Roman"/>
                <w:sz w:val="24"/>
              </w:rPr>
              <w:fldChar w:fldCharType="separate"/>
            </w:r>
            <w:r>
              <w:rPr>
                <w:rFonts w:ascii="Times New Roman" w:hAnsi="Times New Roman"/>
                <w:sz w:val="24"/>
              </w:rPr>
              <w:t>пунктом 4</w:t>
            </w:r>
            <w:r>
              <w:rPr>
                <w:rFonts w:ascii="Times New Roman" w:hAnsi="Times New Roman"/>
                <w:sz w:val="24"/>
              </w:rPr>
              <w:fldChar w:fldCharType="end"/>
            </w:r>
            <w:r>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67"/>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hAnsi="Times New Roman"/>
                <w:sz w:val="24"/>
              </w:rPr>
            </w:pPr>
            <w:r>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olor w:val="auto"/>
                <w:sz w:val="24"/>
              </w:rPr>
              <w:t xml:space="preserve">у неї </w:t>
            </w:r>
            <w:r>
              <w:rPr>
                <w:rFonts w:ascii="Times New Roman" w:hAnsi="Times New Roman"/>
                <w:color w:val="auto"/>
                <w:sz w:val="24"/>
                <w:shd w:val="clear" w:fill="FFFFFF"/>
              </w:rPr>
              <w:t xml:space="preserve">публічних закупівель товарів, робіт і послуг згідно із Законом України “Про санкції”, </w:t>
            </w:r>
            <w:r>
              <w:rPr>
                <w:rFonts w:ascii="Times New Roman" w:hAnsi="Times New Roman"/>
                <w:color w:val="auto"/>
                <w:sz w:val="24"/>
              </w:rPr>
              <w:t>крім випадку, коли активи такої особи в установленому законодавством порядку передані в управління АРМА;</w:t>
            </w:r>
          </w:p>
          <w:p>
            <w:pPr>
              <w:ind w:firstLine="567"/>
              <w:jc w:val="both"/>
              <w:rPr>
                <w:rFonts w:ascii="Times New Roman" w:hAnsi="Times New Roman"/>
                <w:sz w:val="24"/>
                <w:shd w:val="clear" w:fill="FFFFFF"/>
              </w:rPr>
            </w:pPr>
            <w:r>
              <w:rPr>
                <w:rFonts w:ascii="Times New Roman" w:hAnsi="Times New Roman"/>
                <w:sz w:val="24"/>
                <w:shd w:val="clear"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sz w:val="24"/>
                <w:shd w:val="clear" w:fill="FFFFFF"/>
              </w:rPr>
            </w:pPr>
          </w:p>
          <w:p>
            <w:pPr>
              <w:jc w:val="both"/>
              <w:rPr>
                <w:rFonts w:ascii="Times New Roman" w:hAnsi="Times New Roman"/>
                <w:sz w:val="24"/>
                <w:shd w:val="clear" w:fill="FFFFFF"/>
              </w:rPr>
            </w:pPr>
            <w:r>
              <w:rPr>
                <w:rFonts w:ascii="Times New Roman" w:hAnsi="Times New Roman"/>
                <w:sz w:val="24"/>
                <w:shd w:val="clear"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beforeAutospacing="0" w:afterAutospacing="0"/>
              <w:jc w:val="both"/>
              <w:rPr>
                <w:rFonts w:ascii="Times New Roman" w:hAnsi="Times New Roman"/>
                <w:b w:val="1"/>
                <w:sz w:val="24"/>
              </w:rPr>
            </w:pPr>
            <w:r>
              <w:rPr>
                <w:rFonts w:ascii="Times New Roman" w:hAnsi="Times New Roman"/>
                <w:sz w:val="24"/>
                <w:shd w:val="clear"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6</w:t>
            </w:r>
          </w:p>
        </w:tc>
        <w:tc>
          <w:tcPr>
            <w:tcW w:w="2835" w:type="dxa"/>
          </w:tcPr>
          <w:p>
            <w:pPr>
              <w:widowControl w:val="0"/>
              <w:rPr>
                <w:rFonts w:ascii="Times New Roman" w:hAnsi="Times New Roman"/>
                <w:sz w:val="24"/>
              </w:rPr>
            </w:pPr>
            <w:r>
              <w:rPr>
                <w:rFonts w:ascii="Times New Roman" w:hAnsi="Times New Roman"/>
                <w:b w:val="1"/>
                <w:color w:val="000000"/>
                <w:sz w:val="24"/>
              </w:rPr>
              <w:t>Інформація про технічні, якісні та кількісні характеристики предмета закупівлі</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u w:val="single"/>
              </w:rPr>
              <w:t>частини друго</w:t>
            </w:r>
            <w:r>
              <w:rPr>
                <w:rFonts w:ascii="Times New Roman" w:hAnsi="Times New Roman"/>
                <w:sz w:val="24"/>
                <w:u w:val="single"/>
              </w:rPr>
              <w:fldChar w:fldCharType="end"/>
            </w:r>
            <w:r>
              <w:rPr>
                <w:rFonts w:ascii="Times New Roman" w:hAnsi="Times New Roman"/>
                <w:sz w:val="24"/>
              </w:rPr>
              <w:t xml:space="preserve">ї статті 22 Закону зазначено в </w:t>
            </w:r>
            <w:r>
              <w:rPr>
                <w:rFonts w:ascii="Times New Roman" w:hAnsi="Times New Roman"/>
                <w:b w:val="1"/>
                <w:i w:val="1"/>
                <w:sz w:val="24"/>
              </w:rPr>
              <w:t>Додатку 2</w:t>
            </w:r>
            <w:r>
              <w:rPr>
                <w:rFonts w:ascii="Times New Roman" w:hAnsi="Times New Roman"/>
                <w:b w:val="1"/>
                <w:sz w:val="24"/>
              </w:rPr>
              <w:t xml:space="preserve"> </w:t>
            </w:r>
            <w:r>
              <w:rPr>
                <w:rFonts w:ascii="Times New Roman" w:hAnsi="Times New Roman"/>
                <w:sz w:val="24"/>
              </w:rPr>
              <w:t>до цієї тендерної документації.</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sz w:val="24"/>
              </w:rPr>
              <w:t>7</w:t>
            </w:r>
          </w:p>
        </w:tc>
        <w:tc>
          <w:tcPr>
            <w:tcW w:w="2835" w:type="dxa"/>
          </w:tcPr>
          <w:p>
            <w:pPr>
              <w:widowControl w:val="0"/>
              <w:rPr>
                <w:rFonts w:ascii="Times New Roman" w:hAnsi="Times New Roman"/>
                <w:sz w:val="24"/>
              </w:rPr>
            </w:pPr>
            <w:r>
              <w:rPr>
                <w:rFonts w:ascii="Times New Roman" w:hAnsi="Times New Roman"/>
                <w:b w:val="1"/>
                <w:color w:val="000000"/>
                <w:sz w:val="24"/>
              </w:rPr>
              <w:t>Інформація про субпідрядника / співвиконавця (у випадку закупівлі робіт чи послуг)</w:t>
            </w:r>
          </w:p>
        </w:tc>
        <w:tc>
          <w:tcPr>
            <w:tcW w:w="6420" w:type="dxa"/>
            <w:vAlign w:val="center"/>
          </w:tcPr>
          <w:p>
            <w:pPr>
              <w:widowControl w:val="0"/>
              <w:ind w:right="120"/>
              <w:jc w:val="both"/>
              <w:rPr>
                <w:rFonts w:ascii="Times New Roman" w:hAnsi="Times New Roman"/>
                <w:sz w:val="24"/>
              </w:rPr>
            </w:pPr>
            <w:r>
              <w:rPr>
                <w:rFonts w:ascii="Times New Roman" w:hAnsi="Times New Roman"/>
                <w:color w:val="000000"/>
                <w:sz w:val="24"/>
              </w:rPr>
              <w:t xml:space="preserve">Не передбачено.  </w:t>
            </w:r>
          </w:p>
          <w:p>
            <w:pPr>
              <w:widowControl w:val="0"/>
              <w:ind w:right="120"/>
              <w:jc w:val="both"/>
              <w:rPr>
                <w:rFonts w:ascii="Times New Roman" w:hAnsi="Times New Roman"/>
                <w:sz w:val="24"/>
              </w:rPr>
            </w:pPr>
          </w:p>
        </w:tc>
      </w:tr>
      <w:tr>
        <w:trPr>
          <w:trHeight w:hRule="atLeast" w:val="841"/>
        </w:trPr>
        <w:tc>
          <w:tcPr>
            <w:tcW w:w="705" w:type="dxa"/>
          </w:tcPr>
          <w:p>
            <w:pPr>
              <w:widowControl w:val="0"/>
              <w:jc w:val="center"/>
              <w:rPr>
                <w:rFonts w:ascii="Times New Roman" w:hAnsi="Times New Roman"/>
                <w:sz w:val="24"/>
              </w:rPr>
            </w:pPr>
            <w:r>
              <w:rPr>
                <w:rFonts w:ascii="Times New Roman" w:hAnsi="Times New Roman"/>
                <w:sz w:val="24"/>
              </w:rPr>
              <w:t>8</w:t>
            </w:r>
          </w:p>
        </w:tc>
        <w:tc>
          <w:tcPr>
            <w:tcW w:w="2835" w:type="dxa"/>
          </w:tcPr>
          <w:p>
            <w:pPr>
              <w:widowControl w:val="0"/>
              <w:rPr>
                <w:rFonts w:ascii="Times New Roman" w:hAnsi="Times New Roman"/>
                <w:sz w:val="24"/>
              </w:rPr>
            </w:pPr>
            <w:r>
              <w:rPr>
                <w:rFonts w:ascii="Times New Roman" w:hAnsi="Times New Roman"/>
                <w:b w:val="1"/>
                <w:color w:val="000000"/>
                <w:sz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442"/>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4. Подання та розкриття тендерної пропозиції</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Кінцевий строк подання тендерної пропозиції</w:t>
            </w:r>
          </w:p>
        </w:tc>
        <w:tc>
          <w:tcPr>
            <w:tcW w:w="6420" w:type="dxa"/>
            <w:vAlign w:val="center"/>
          </w:tcPr>
          <w:p>
            <w:pPr>
              <w:widowControl w:val="0"/>
              <w:ind w:firstLine="0" w:left="0" w:right="120"/>
              <w:jc w:val="both"/>
              <w:rPr>
                <w:rFonts w:ascii="Times New Roman" w:hAnsi="Times New Roman"/>
                <w:color w:val="4472C4"/>
                <w:shd w:val="clear" w:fill="FF00FF"/>
              </w:rPr>
            </w:pPr>
            <w:r>
              <w:rPr>
                <w:rFonts w:ascii="Times New Roman" w:hAnsi="Times New Roman"/>
                <w:color w:val="000000"/>
                <w:sz w:val="24"/>
              </w:rPr>
              <w:t xml:space="preserve">Кінцевий строк подання тендерних пропозицій </w:t>
            </w:r>
            <w:r>
              <w:rPr>
                <w:rFonts w:ascii="Times New Roman" w:hAnsi="Times New Roman"/>
                <w:sz w:val="24"/>
              </w:rPr>
              <w:t>—</w:t>
            </w:r>
            <w:r>
              <w:rPr>
                <w:rFonts w:ascii="Times New Roman" w:hAnsi="Times New Roman"/>
                <w:color w:val="000000"/>
                <w:sz w:val="24"/>
              </w:rPr>
              <w:t xml:space="preserve"> </w:t>
            </w:r>
            <w:r>
              <w:rPr>
                <w:rFonts w:ascii="Times New Roman" w:hAnsi="Times New Roman"/>
                <w:b w:val="1"/>
                <w:color w:val="auto"/>
                <w:sz w:val="24"/>
              </w:rPr>
              <w:t>25 вересня 2023 року</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sz w:val="24"/>
                <w:shd w:val="clear" w:fill="FFFFFF"/>
              </w:rPr>
              <w:t>Дата та час розкриття тендерної пропозиції</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jc w:val="both"/>
              <w:rPr>
                <w:rFonts w:ascii="Times New Roman" w:hAnsi="Times New Roman"/>
                <w:sz w:val="24"/>
                <w:shd w:val="clear" w:fill="FFFFFF"/>
              </w:rPr>
            </w:pPr>
            <w:r>
              <w:rPr>
                <w:rFonts w:ascii="Times New Roman" w:hAnsi="Times New Roman"/>
                <w:sz w:val="24"/>
                <w:shd w:val="clear"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jc w:val="both"/>
              <w:rPr>
                <w:rFonts w:ascii="Times New Roman" w:hAnsi="Times New Roman"/>
                <w:sz w:val="24"/>
                <w:shd w:val="clear" w:fill="FFFFFF"/>
              </w:rPr>
            </w:pPr>
            <w:r>
              <w:rPr>
                <w:rFonts w:ascii="Times New Roman" w:hAnsi="Times New Roman"/>
                <w:sz w:val="24"/>
                <w:shd w:val="clear"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w:t>
            </w:r>
          </w:p>
        </w:tc>
      </w:tr>
      <w:tr>
        <w:trPr>
          <w:trHeight w:hRule="atLeast" w:val="512"/>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5. Оцінка тендерної пропозиції</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sz w:val="24"/>
              </w:rPr>
            </w:pPr>
            <w:r>
              <w:rPr>
                <w:rFonts w:ascii="Times New Roman" w:hAnsi="Times New Roman"/>
                <w:b w:val="1"/>
                <w:color w:val="000000"/>
                <w:sz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"https://zakon.rada.gov.ua/laws/show/922-19#n1553"</w:instrText>
            </w:r>
            <w:r>
              <w:rPr>
                <w:rFonts w:ascii="Times New Roman" w:hAnsi="Times New Roman"/>
                <w:sz w:val="24"/>
                <w:shd w:val="clear" w:fill="FFFFFF"/>
              </w:rPr>
              <w:fldChar w:fldCharType="separate"/>
            </w:r>
            <w:r>
              <w:rPr>
                <w:rFonts w:ascii="Times New Roman" w:hAnsi="Times New Roman"/>
                <w:sz w:val="24"/>
                <w:shd w:val="clear" w:fill="FFFFFF"/>
              </w:rPr>
              <w:t>шістнадцятої</w:t>
            </w:r>
            <w:r>
              <w:rPr>
                <w:rFonts w:ascii="Times New Roman" w:hAnsi="Times New Roman"/>
                <w:sz w:val="24"/>
                <w:shd w:val="clear" w:fill="FFFFFF"/>
              </w:rPr>
              <w:fldChar w:fldCharType="end"/>
            </w:r>
            <w:r>
              <w:rPr>
                <w:rFonts w:ascii="Times New Roman" w:hAnsi="Times New Roman"/>
                <w:sz w:val="24"/>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4"/>
                <w:shd w:val="clear" w:fill="FFFFFF"/>
              </w:rPr>
            </w:pPr>
            <w:r>
              <w:rPr>
                <w:rFonts w:ascii="Times New Roman" w:hAnsi="Times New Roman"/>
                <w:sz w:val="24"/>
                <w:shd w:val="clear" w:fill="FFFFFF"/>
              </w:rPr>
              <w:t>Критерії та методика оцінки визначаються відповідно до статті 29 Закону.</w:t>
            </w:r>
          </w:p>
          <w:p>
            <w:pPr>
              <w:widowControl w:val="0"/>
              <w:jc w:val="both"/>
              <w:rPr>
                <w:rFonts w:ascii="Times New Roman" w:hAnsi="Times New Roman"/>
                <w:b w:val="1"/>
                <w:sz w:val="24"/>
                <w:shd w:val="clear" w:fill="FFFFFF"/>
              </w:rPr>
            </w:pPr>
            <w:r>
              <w:rPr>
                <w:rFonts w:ascii="Times New Roman" w:hAnsi="Times New Roman"/>
                <w:b w:val="1"/>
                <w:sz w:val="24"/>
                <w:shd w:val="clear" w:fill="FFFFFF"/>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sz w:val="24"/>
                <w:shd w:val="clear" w:fill="FFFFFF"/>
              </w:rPr>
            </w:pPr>
            <w:r>
              <w:rPr>
                <w:rFonts w:ascii="Times New Roman" w:hAnsi="Times New Roman"/>
                <w:sz w:val="24"/>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4"/>
                <w:shd w:val="clear" w:fill="FFFFFF"/>
              </w:rPr>
            </w:pPr>
            <w:r>
              <w:rPr>
                <w:rFonts w:ascii="Times New Roman" w:hAnsi="Times New Roman"/>
                <w:i w:val="1"/>
                <w:sz w:val="24"/>
                <w:shd w:val="clear" w:fill="FFFFFF"/>
              </w:rPr>
              <w:t>(у разі якщо подано дві і більше тендерних пропозицій).</w:t>
            </w:r>
          </w:p>
          <w:p>
            <w:pPr>
              <w:shd w:val="clear" w:fill="FFFFFF"/>
              <w:jc w:val="both"/>
              <w:rPr>
                <w:rFonts w:ascii="Times New Roman" w:hAnsi="Times New Roman"/>
                <w:sz w:val="24"/>
                <w:shd w:val="clear" w:fill="FFFFFF"/>
              </w:rPr>
            </w:pPr>
            <w:r>
              <w:rPr>
                <w:rFonts w:ascii="Times New Roman" w:hAnsi="Times New Roman"/>
                <w:sz w:val="24"/>
                <w:shd w:val="clear"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val="1"/>
                <w:sz w:val="24"/>
                <w:shd w:val="clear" w:fill="FFFF00"/>
              </w:rPr>
            </w:pPr>
            <w:r>
              <w:rPr>
                <w:rFonts w:ascii="Times New Roman" w:hAnsi="Times New Roman"/>
                <w:sz w:val="24"/>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sz w:val="24"/>
              </w:rPr>
              <w:t xml:space="preserve">Ціна тендерної пропозиції </w:t>
            </w:r>
            <w:r>
              <w:rPr>
                <w:rFonts w:ascii="Times New Roman" w:hAnsi="Times New Roman"/>
                <w:color w:val="auto"/>
                <w:sz w:val="24"/>
                <w:u w:val="single"/>
              </w:rPr>
              <w:t>не може</w:t>
            </w:r>
            <w:r>
              <w:rPr>
                <w:rFonts w:ascii="Times New Roman" w:hAnsi="Times New Roman"/>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color w:val="4A86E8"/>
                <w:sz w:val="24"/>
              </w:rPr>
            </w:pPr>
            <w:r>
              <w:rPr>
                <w:rFonts w:ascii="Times New Roman" w:hAnsi="Times New Roman"/>
                <w:sz w:val="24"/>
              </w:rPr>
              <w:t xml:space="preserve">До розгляду </w:t>
            </w:r>
            <w:r>
              <w:rPr>
                <w:rFonts w:ascii="Times New Roman" w:hAnsi="Times New Roman"/>
                <w:color w:val="auto"/>
                <w:sz w:val="24"/>
                <w:u w:val="single"/>
              </w:rPr>
              <w:t>не приймається</w:t>
            </w:r>
            <w:r>
              <w:rPr>
                <w:rFonts w:ascii="Times New Roman" w:hAnsi="Times New Roman"/>
                <w:color w:val="FF0000"/>
                <w:sz w:val="24"/>
              </w:rPr>
              <w:t xml:space="preserve"> </w:t>
            </w:r>
            <w:r>
              <w:rPr>
                <w:rFonts w:ascii="Times New Roman" w:hAnsi="Times New Roman"/>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color w:val="auto"/>
                <w:sz w:val="24"/>
              </w:rPr>
            </w:pPr>
            <w:r>
              <w:rPr>
                <w:rFonts w:ascii="Times New Roman" w:hAnsi="Times New Roman"/>
                <w:color w:val="auto"/>
                <w:sz w:val="24"/>
              </w:rPr>
              <w:t>Оцінка здійснюється щодо предмета закупівлі в цілому.</w:t>
            </w:r>
          </w:p>
          <w:p>
            <w:pPr>
              <w:widowControl w:val="0"/>
              <w:jc w:val="both"/>
              <w:rPr>
                <w:rFonts w:ascii="Times New Roman" w:hAnsi="Times New Roman"/>
                <w:sz w:val="24"/>
              </w:rPr>
            </w:pPr>
            <w:r>
              <w:rPr>
                <w:rFonts w:ascii="Times New Roman" w:hAnsi="Times New Roman"/>
                <w:sz w:val="24"/>
              </w:rPr>
              <w:t xml:space="preserve">Учасник визначає ціни на </w:t>
            </w:r>
            <w:r>
              <w:rPr>
                <w:rFonts w:ascii="Times New Roman" w:hAnsi="Times New Roman"/>
                <w:b w:val="1"/>
                <w:color w:val="auto"/>
                <w:sz w:val="24"/>
              </w:rPr>
              <w:t>товар</w:t>
            </w:r>
            <w:r>
              <w:rPr>
                <w:rFonts w:ascii="Times New Roman" w:hAnsi="Times New Roman"/>
                <w:color w:val="auto"/>
                <w:sz w:val="24"/>
              </w:rPr>
              <w:t xml:space="preserve">, що він пропонує </w:t>
            </w:r>
            <w:r>
              <w:rPr>
                <w:rFonts w:ascii="Times New Roman" w:hAnsi="Times New Roman"/>
                <w:b w:val="1"/>
                <w:color w:val="auto"/>
                <w:sz w:val="24"/>
              </w:rPr>
              <w:t xml:space="preserve">поставити </w:t>
            </w:r>
            <w:r>
              <w:rPr>
                <w:rFonts w:ascii="Times New Roman" w:hAnsi="Times New Roman"/>
                <w:color w:val="auto"/>
                <w:sz w:val="24"/>
              </w:rPr>
              <w:t>за</w:t>
            </w:r>
            <w:r>
              <w:rPr>
                <w:rFonts w:ascii="Times New Roman" w:hAnsi="Times New Roman"/>
                <w:sz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val="1"/>
                <w:color w:val="auto"/>
                <w:sz w:val="24"/>
              </w:rPr>
              <w:t>товару</w:t>
            </w:r>
            <w:r>
              <w:rPr>
                <w:rFonts w:ascii="Times New Roman" w:hAnsi="Times New Roman"/>
                <w:color w:val="FF0000"/>
                <w:sz w:val="24"/>
              </w:rPr>
              <w:t xml:space="preserve"> </w:t>
            </w:r>
            <w:r>
              <w:rPr>
                <w:rFonts w:ascii="Times New Roman" w:hAnsi="Times New Roman"/>
                <w:sz w:val="24"/>
              </w:rPr>
              <w:t>даного виду.</w:t>
            </w:r>
          </w:p>
          <w:p>
            <w:pPr>
              <w:shd w:val="clear" w:fill="FFFFFF"/>
              <w:jc w:val="both"/>
              <w:rPr>
                <w:rFonts w:ascii="Times New Roman" w:hAnsi="Times New Roman"/>
                <w:sz w:val="24"/>
                <w:shd w:val="clear" w:fill="FFFFFF"/>
              </w:rPr>
            </w:pPr>
            <w:r>
              <w:rPr>
                <w:rFonts w:ascii="Times New Roman" w:hAnsi="Times New Roman"/>
                <w:sz w:val="24"/>
                <w:shd w:val="clear"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sz w:val="24"/>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val="1"/>
                <w:sz w:val="24"/>
                <w:shd w:val="clear" w:fill="FFFFFF"/>
              </w:rPr>
            </w:pPr>
            <w:r>
              <w:rPr>
                <w:rFonts w:ascii="Times New Roman" w:hAnsi="Times New Roman"/>
                <w:sz w:val="24"/>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sz w:val="24"/>
                <w:shd w:val="clear" w:fill="FFFFFF"/>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val="1"/>
                <w:i w:val="1"/>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hd w:val="clear" w:fill="FFFFFF"/>
              </w:rPr>
              <w:t>лених невідповідностей.</w:t>
            </w:r>
          </w:p>
          <w:p>
            <w:pPr>
              <w:widowControl w:val="0"/>
              <w:jc w:val="both"/>
              <w:rPr>
                <w:rFonts w:ascii="Times New Roman" w:hAnsi="Times New Roman"/>
                <w:sz w:val="24"/>
                <w:shd w:val="clear" w:fill="FFFFFF"/>
              </w:rPr>
            </w:pPr>
            <w:r>
              <w:rPr>
                <w:rFonts w:ascii="Times New Roman" w:hAnsi="Times New Roman"/>
                <w:sz w:val="24"/>
                <w:shd w:val="clear" w:fill="FFFFFF"/>
              </w:rPr>
              <w:t xml:space="preserve">У разі відхилення тендерної пропозиції з підстави, визначеної підпунктом 3 пункту </w:t>
            </w:r>
            <w:r>
              <w:rPr>
                <w:rFonts w:ascii="Times New Roman" w:hAnsi="Times New Roman"/>
                <w:color w:val="00B050"/>
                <w:sz w:val="24"/>
                <w:shd w:val="clear" w:fill="FFFFFF"/>
              </w:rPr>
              <w:t>44</w:t>
            </w:r>
            <w:r>
              <w:rPr>
                <w:rFonts w:ascii="Times New Roman" w:hAnsi="Times New Roman"/>
                <w:sz w:val="24"/>
                <w:shd w:val="clear"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hAnsi="Times New Roman"/>
                <w:sz w:val="24"/>
              </w:rPr>
            </w:pPr>
            <w:r>
              <w:rPr>
                <w:rFonts w:ascii="Times New Roman" w:hAnsi="Times New Roman"/>
                <w:b w:val="1"/>
                <w:i w:val="1"/>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Інша інформація</w:t>
            </w:r>
          </w:p>
        </w:tc>
        <w:tc>
          <w:tcPr>
            <w:tcW w:w="6420" w:type="dxa"/>
            <w:vAlign w:val="center"/>
          </w:tcPr>
          <w:p>
            <w:pPr>
              <w:widowControl w:val="0"/>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pPr>
              <w:widowControl w:val="0"/>
              <w:ind w:right="120"/>
              <w:jc w:val="both"/>
              <w:rPr>
                <w:rFonts w:ascii="Times New Roman" w:hAnsi="Times New Roman"/>
                <w:sz w:val="24"/>
              </w:rPr>
            </w:pPr>
            <w:r>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sz w:val="24"/>
              </w:rPr>
            </w:pPr>
            <w:r>
              <w:rPr>
                <w:rFonts w:ascii="Times New Roman" w:hAnsi="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sz w:val="24"/>
              </w:rPr>
            </w:pPr>
            <w:r>
              <w:rPr>
                <w:rFonts w:ascii="Times New Roman" w:hAnsi="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hAnsi="Times New Roman"/>
                <w:sz w:val="24"/>
              </w:rPr>
            </w:pPr>
            <w:r>
              <w:rPr>
                <w:rFonts w:ascii="Times New Roman" w:hAnsi="Times New Roman"/>
                <w:b w:val="1"/>
                <w:i w:val="1"/>
                <w:sz w:val="24"/>
                <w:u w:val="single"/>
              </w:rPr>
              <w:t>Інші умови тендерної документації:</w:t>
            </w:r>
          </w:p>
          <w:p>
            <w:pPr>
              <w:widowControl w:val="0"/>
              <w:jc w:val="both"/>
              <w:rPr>
                <w:rFonts w:ascii="Times New Roman" w:hAnsi="Times New Roman"/>
                <w:sz w:val="24"/>
              </w:rPr>
            </w:pPr>
            <w:r>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sz w:val="24"/>
              </w:rPr>
            </w:pPr>
            <w:r>
              <w:rPr>
                <w:rFonts w:ascii="Times New Roman" w:hAnsi="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jc w:val="both"/>
              <w:rPr>
                <w:rFonts w:ascii="Times New Roman" w:hAnsi="Times New Roman"/>
                <w:sz w:val="24"/>
              </w:rPr>
            </w:pPr>
            <w:r>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hAnsi="Times New Roman"/>
                <w:sz w:val="24"/>
              </w:rPr>
            </w:pPr>
            <w:r>
              <w:rPr>
                <w:rFonts w:ascii="Times New Roman" w:hAnsi="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sz w:val="24"/>
              </w:rPr>
            </w:pPr>
            <w:r>
              <w:rPr>
                <w:rFonts w:ascii="Times New Roman" w:hAnsi="Times New Roman"/>
                <w:sz w:val="24"/>
              </w:rPr>
              <w:t xml:space="preserve">5.  Учасники торгів — нерезиденти для виконання вимог щодо подання документів, передбачених </w:t>
            </w:r>
            <w:r>
              <w:rPr>
                <w:rFonts w:ascii="Times New Roman" w:hAnsi="Times New Roman"/>
                <w:b w:val="1"/>
                <w:i w:val="1"/>
                <w:sz w:val="24"/>
              </w:rPr>
              <w:t>Додатком  1</w:t>
            </w:r>
            <w:r>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sz w:val="24"/>
              </w:rPr>
            </w:pPr>
            <w:r>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jc w:val="both"/>
              <w:rPr>
                <w:rFonts w:ascii="Times New Roman" w:hAnsi="Times New Roman"/>
                <w:sz w:val="24"/>
              </w:rPr>
            </w:pPr>
            <w:r>
              <w:rPr>
                <w:rFonts w:ascii="Times New Roman" w:hAnsi="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sz w:val="24"/>
              </w:rPr>
            </w:pPr>
            <w:r>
              <w:rPr>
                <w:rFonts w:ascii="Times New Roman" w:hAnsi="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val="1"/>
                <w:i w:val="1"/>
                <w:sz w:val="24"/>
              </w:rPr>
              <w:t>Додатку 3</w:t>
            </w:r>
            <w:r>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val="1"/>
                <w:i w:val="1"/>
                <w:sz w:val="24"/>
              </w:rPr>
              <w:t>в п. 4 Розділу 3</w:t>
            </w:r>
            <w:r>
              <w:rPr>
                <w:rFonts w:ascii="Times New Roman" w:hAnsi="Times New Roman"/>
                <w:sz w:val="24"/>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rPr>
              <w:t xml:space="preserve">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rFonts w:ascii="Times New Roman" w:hAnsi="Times New Roman"/>
                <w:sz w:val="24"/>
              </w:rPr>
            </w:pPr>
            <w:r>
              <w:rPr>
                <w:rFonts w:ascii="Times New Roman" w:hAnsi="Times New Roman"/>
                <w:sz w:val="24"/>
              </w:rPr>
              <w:t>11. Тендерна пропозиція учасника може містити документи з водяними знаками.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sz w:val="24"/>
              </w:rPr>
            </w:pPr>
            <w:r>
              <w:rPr>
                <w:rFonts w:ascii="Times New Roman" w:hAnsi="Times New Roman"/>
                <w:sz w:val="24"/>
              </w:rPr>
              <w:t xml:space="preserve">А також враховувати, що в Україні </w:t>
            </w:r>
            <w:r>
              <w:rPr>
                <w:rFonts w:ascii="Times New Roman" w:hAnsi="Times New Roman"/>
                <w:sz w:val="24"/>
                <w:shd w:val="clear"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Відхилення тендерних пропозицій</w:t>
            </w:r>
          </w:p>
        </w:tc>
        <w:tc>
          <w:tcPr>
            <w:tcW w:w="6420" w:type="dxa"/>
            <w:vAlign w:val="center"/>
          </w:tcPr>
          <w:p>
            <w:pPr>
              <w:jc w:val="both"/>
              <w:rPr>
                <w:rFonts w:ascii="Times New Roman" w:hAnsi="Times New Roman"/>
                <w:b w:val="1"/>
                <w:i w:val="1"/>
                <w:sz w:val="24"/>
                <w:shd w:val="clear" w:fill="FFFFFF"/>
              </w:rPr>
            </w:pPr>
            <w:r>
              <w:rPr>
                <w:rFonts w:ascii="Times New Roman" w:hAnsi="Times New Roman"/>
                <w:b w:val="1"/>
                <w:i w:val="1"/>
                <w:sz w:val="24"/>
                <w:shd w:val="clear" w:fill="FFFFFF"/>
              </w:rPr>
              <w:t>Замовник відхиляє тендерну пропозицію із зазначенням аргументації в електронній системі закупівель у разі, коли:</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1) учасник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підпадає під підстави, встановлені пунктом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тендерної пропозиції,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2) тендерна пропозиція: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"https://zakon.rada.gov.ua/laws/show/1178-2022-%D0%BF#n131"</w:instrText>
            </w:r>
            <w:r>
              <w:rPr>
                <w:rFonts w:ascii="Times New Roman" w:hAnsi="Times New Roman"/>
                <w:sz w:val="24"/>
                <w:shd w:val="clear" w:fill="FFFFFF"/>
              </w:rPr>
              <w:fldChar w:fldCharType="separate"/>
            </w:r>
            <w:r>
              <w:rPr>
                <w:rFonts w:ascii="Times New Roman" w:hAnsi="Times New Roman"/>
                <w:sz w:val="24"/>
                <w:shd w:val="clear" w:fill="FFFFFF"/>
              </w:rPr>
              <w:t>пункту 4</w:t>
            </w:r>
            <w:r>
              <w:rPr>
                <w:rFonts w:ascii="Times New Roman" w:hAnsi="Times New Roman"/>
                <w:sz w:val="24"/>
                <w:shd w:val="clear" w:fill="FFFFFF"/>
              </w:rPr>
              <w:fldChar w:fldCharType="end"/>
            </w:r>
            <w:r>
              <w:rPr>
                <w:rFonts w:ascii="Times New Roman" w:hAnsi="Times New Roman"/>
                <w:sz w:val="24"/>
                <w:shd w:val="clear" w:fill="FFFFFF"/>
              </w:rPr>
              <w:t>3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строк дії якої закінчився;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відповідає вимогам, установленим у тендерній документації відповідно до абзацу першого частини третьої статті 22 Закону;</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3) переможець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виконання договору про закупівлю,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ind w:firstLine="567"/>
              <w:jc w:val="both"/>
              <w:rPr>
                <w:rFonts w:ascii="Times New Roman" w:hAnsi="Times New Roman"/>
                <w:b w:val="1"/>
                <w:i w:val="1"/>
                <w:sz w:val="24"/>
                <w:shd w:val="clear" w:fill="FFFFFF"/>
              </w:rPr>
            </w:pPr>
            <w:r>
              <w:rPr>
                <w:rFonts w:ascii="Times New Roman" w:hAnsi="Times New Roman"/>
                <w:b w:val="1"/>
                <w:i w:val="1"/>
                <w:sz w:val="24"/>
                <w:shd w:val="clear" w:fill="FFFFFF"/>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sz w:val="24"/>
                <w:shd w:val="clear" w:fill="FFFFFF"/>
              </w:rPr>
            </w:pPr>
            <w:r>
              <w:rPr>
                <w:rFonts w:ascii="Times New Roman" w:hAnsi="Times New Roman"/>
                <w:sz w:val="24"/>
                <w:shd w:val="clear"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sz w:val="24"/>
                <w:shd w:val="clear" w:fill="FFFFFF"/>
              </w:rPr>
            </w:pPr>
            <w:r>
              <w:rPr>
                <w:rFonts w:ascii="Times New Roman" w:hAnsi="Times New Roman"/>
                <w:sz w:val="24"/>
                <w:shd w:val="clear"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sz w:val="24"/>
                <w:shd w:val="clear" w:fill="FFFFFF"/>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jc w:val="both"/>
              <w:rPr>
                <w:rFonts w:ascii="Times New Roman" w:hAnsi="Times New Roman"/>
                <w:sz w:val="24"/>
                <w:shd w:val="clear" w:fill="FFFFFF"/>
              </w:rPr>
            </w:pPr>
            <w:r>
              <w:rPr>
                <w:rFonts w:ascii="Times New Roman" w:hAnsi="Times New Roman"/>
                <w:sz w:val="24"/>
                <w:shd w:val="clear"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472"/>
        </w:trPr>
        <w:tc>
          <w:tcPr>
            <w:tcW w:w="9960"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6. Результати торгів та укладання договору про закупівлю</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1</w:t>
            </w:r>
          </w:p>
        </w:tc>
        <w:tc>
          <w:tcPr>
            <w:tcW w:w="2835"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420" w:type="dxa"/>
            <w:vAlign w:val="center"/>
          </w:tcPr>
          <w:p>
            <w:pPr>
              <w:widowControl w:val="0"/>
              <w:jc w:val="both"/>
              <w:rPr>
                <w:rFonts w:ascii="Times New Roman" w:hAnsi="Times New Roman"/>
                <w:b w:val="1"/>
                <w:i w:val="1"/>
                <w:sz w:val="24"/>
              </w:rPr>
            </w:pPr>
            <w:r>
              <w:rPr>
                <w:rFonts w:ascii="Times New Roman" w:hAnsi="Times New Roman"/>
                <w:b w:val="1"/>
                <w:i w:val="1"/>
                <w:sz w:val="24"/>
              </w:rPr>
              <w:t>Замовник відміняє відкриті торги у разі:</w:t>
            </w:r>
          </w:p>
          <w:p>
            <w:pPr>
              <w:widowControl w:val="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widowControl w:val="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widowControl w:val="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rPr>
            </w:pPr>
            <w:r>
              <w:rPr>
                <w:rFonts w:ascii="Times New Roman" w:hAnsi="Times New Roman"/>
                <w:sz w:val="24"/>
              </w:rPr>
              <w:t xml:space="preserve">У разі відміни відкритих торгів замовник </w:t>
            </w:r>
            <w:r>
              <w:rPr>
                <w:rFonts w:ascii="Times New Roman" w:hAnsi="Times New Roman"/>
                <w:b w:val="1"/>
                <w:i w:val="1"/>
                <w:sz w:val="24"/>
              </w:rPr>
              <w:t>протягом одного робочого дня</w:t>
            </w:r>
            <w:r>
              <w:rPr>
                <w:rFonts w:ascii="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sz w:val="24"/>
              </w:rPr>
            </w:pPr>
            <w:r>
              <w:rPr>
                <w:rFonts w:ascii="Times New Roman" w:hAnsi="Times New Roman"/>
                <w:b w:val="1"/>
                <w:i w:val="1"/>
                <w:sz w:val="24"/>
              </w:rPr>
              <w:t>Відкриті торги автоматично відміняються електронною системою закупівель у разі:</w:t>
            </w:r>
          </w:p>
          <w:p>
            <w:pPr>
              <w:widowControl w:val="0"/>
              <w:jc w:val="both"/>
              <w:rPr>
                <w:rFonts w:ascii="Times New Roman" w:hAnsi="Times New Roman"/>
                <w:sz w:val="24"/>
              </w:rPr>
            </w:pPr>
            <w:r>
              <w:rPr>
                <w:rFonts w:ascii="Times New Roman" w:hAnsi="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hd w:val="clear" w:fill="FFFFFF"/>
              </w:rPr>
              <w:t>цими 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2) не</w:t>
            </w:r>
            <w:r>
              <w:rPr>
                <w:rFonts w:ascii="Times New Roman" w:hAnsi="Times New Roman"/>
                <w:sz w:val="24"/>
                <w:shd w:val="clear" w:fill="FFFFFF"/>
              </w:rPr>
              <w:t>подання жодної тендерної пропозиції для участі</w:t>
            </w:r>
            <w:r>
              <w:rPr>
                <w:rFonts w:ascii="Times New Roman" w:hAnsi="Times New Roman"/>
                <w:sz w:val="24"/>
              </w:rPr>
              <w:t xml:space="preserve"> у відкритих торгах у строк, установлений замовником згідно з </w:t>
            </w:r>
            <w:r>
              <w:rPr>
                <w:rFonts w:ascii="Times New Roman" w:hAnsi="Times New Roman"/>
                <w:sz w:val="24"/>
                <w:shd w:val="clear" w:fill="FFFFFF"/>
              </w:rPr>
              <w:t>цими 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2</w:t>
            </w:r>
          </w:p>
        </w:tc>
        <w:tc>
          <w:tcPr>
            <w:tcW w:w="2835" w:type="dxa"/>
          </w:tcPr>
          <w:p>
            <w:pPr>
              <w:widowControl w:val="0"/>
              <w:rPr>
                <w:rFonts w:ascii="Times New Roman" w:hAnsi="Times New Roman"/>
                <w:sz w:val="24"/>
              </w:rPr>
            </w:pPr>
            <w:r>
              <w:rPr>
                <w:rFonts w:ascii="Times New Roman" w:hAnsi="Times New Roman"/>
                <w:b w:val="1"/>
                <w:color w:val="000000"/>
                <w:sz w:val="24"/>
              </w:rPr>
              <w:t>Строк укладання договору про закупівлю</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4"/>
                <w:shd w:val="clear" w:fill="FFFFFF"/>
              </w:rPr>
              <w:t>не пізніше ніж через 15 днів</w:t>
            </w:r>
            <w:r>
              <w:rPr>
                <w:rFonts w:ascii="Times New Roman" w:hAnsi="Times New Roman"/>
                <w:sz w:val="24"/>
                <w:shd w:val="clear"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4"/>
                <w:shd w:val="clear" w:fill="FFFFFF"/>
              </w:rPr>
              <w:t>може бути продовжений до 60 днів</w:t>
            </w:r>
            <w:r>
              <w:rPr>
                <w:rFonts w:ascii="Times New Roman" w:hAnsi="Times New Roman"/>
                <w:sz w:val="24"/>
                <w:shd w:val="clear" w:fill="FFFFFF"/>
              </w:rPr>
              <w:t xml:space="preserve">. </w:t>
            </w:r>
          </w:p>
          <w:p>
            <w:pPr>
              <w:widowControl w:val="0"/>
              <w:jc w:val="both"/>
              <w:rPr>
                <w:rFonts w:ascii="Times New Roman" w:hAnsi="Times New Roman"/>
                <w:sz w:val="24"/>
                <w:shd w:val="clear" w:fill="FFFFFF"/>
              </w:rPr>
            </w:pPr>
            <w:r>
              <w:rPr>
                <w:rFonts w:ascii="Times New Roman" w:hAnsi="Times New Roman"/>
                <w:sz w:val="24"/>
                <w:shd w:val="clear"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shd w:val="clear" w:fill="FFFFFF"/>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sz w:val="24"/>
                <w:shd w:val="clear" w:fill="FFFFFF"/>
              </w:rPr>
              <w:t>не може бути укладено раніше ніж через п’ять днів</w:t>
            </w:r>
            <w:r>
              <w:rPr>
                <w:rFonts w:ascii="Times New Roman" w:hAnsi="Times New Roman"/>
                <w:i w:val="1"/>
                <w:sz w:val="24"/>
                <w:shd w:val="clear" w:fill="FFFFFF"/>
              </w:rPr>
              <w:t xml:space="preserve"> </w:t>
            </w:r>
            <w:r>
              <w:rPr>
                <w:rFonts w:ascii="Times New Roman" w:hAnsi="Times New Roman"/>
                <w:sz w:val="24"/>
                <w:shd w:val="clear" w:fill="FFFFFF"/>
              </w:rPr>
              <w:t>з дати оприлюднення в електронній системі закупівель повідомлення про намір укласти договір про закупівлю.</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color w:val="000000"/>
                <w:sz w:val="24"/>
              </w:rPr>
              <w:t>3</w:t>
            </w:r>
          </w:p>
        </w:tc>
        <w:tc>
          <w:tcPr>
            <w:tcW w:w="2835" w:type="dxa"/>
          </w:tcPr>
          <w:p>
            <w:pPr>
              <w:widowControl w:val="0"/>
              <w:rPr>
                <w:rFonts w:ascii="Times New Roman" w:hAnsi="Times New Roman"/>
                <w:sz w:val="24"/>
              </w:rPr>
            </w:pPr>
            <w:r>
              <w:rPr>
                <w:rFonts w:ascii="Times New Roman" w:hAnsi="Times New Roman"/>
                <w:b w:val="1"/>
                <w:color w:val="000000"/>
                <w:sz w:val="24"/>
              </w:rPr>
              <w:t>Проєкт договору про закупівлю</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ind w:right="120"/>
              <w:jc w:val="both"/>
              <w:rPr>
                <w:rFonts w:ascii="Times New Roman" w:hAnsi="Times New Roman"/>
                <w:sz w:val="24"/>
              </w:rPr>
            </w:pPr>
            <w:r>
              <w:rPr>
                <w:rFonts w:ascii="Times New Roman" w:hAnsi="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ind w:right="120"/>
              <w:jc w:val="both"/>
              <w:rPr>
                <w:rFonts w:ascii="Times New Roman" w:hAnsi="Times New Roman"/>
                <w:sz w:val="24"/>
                <w:shd w:val="clear" w:fill="FFFFFF"/>
              </w:rPr>
            </w:pPr>
            <w:r>
              <w:rPr>
                <w:rFonts w:ascii="Times New Roman" w:hAnsi="Times New Roman"/>
                <w:sz w:val="24"/>
                <w:shd w:val="clear"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widowControl w:val="0"/>
              <w:ind w:right="120"/>
              <w:jc w:val="both"/>
              <w:rPr>
                <w:rFonts w:ascii="Times New Roman" w:hAnsi="Times New Roman"/>
                <w:sz w:val="24"/>
                <w:shd w:val="clear" w:fill="FFFFFF"/>
              </w:rPr>
            </w:pPr>
          </w:p>
        </w:tc>
      </w:tr>
      <w:tr>
        <w:trPr>
          <w:trHeight w:hRule="atLeast" w:val="1575"/>
        </w:trPr>
        <w:tc>
          <w:tcPr>
            <w:tcW w:w="705" w:type="dxa"/>
          </w:tcPr>
          <w:p>
            <w:pPr>
              <w:widowControl w:val="0"/>
              <w:jc w:val="center"/>
              <w:rPr>
                <w:rFonts w:ascii="Times New Roman" w:hAnsi="Times New Roman"/>
                <w:sz w:val="24"/>
              </w:rPr>
            </w:pPr>
            <w:r>
              <w:rPr>
                <w:rFonts w:ascii="Times New Roman" w:hAnsi="Times New Roman"/>
                <w:color w:val="000000"/>
                <w:sz w:val="24"/>
              </w:rPr>
              <w:t>4</w:t>
            </w:r>
          </w:p>
        </w:tc>
        <w:tc>
          <w:tcPr>
            <w:tcW w:w="2835" w:type="dxa"/>
          </w:tcPr>
          <w:p>
            <w:pPr>
              <w:widowControl w:val="0"/>
              <w:rPr>
                <w:rFonts w:ascii="Times New Roman" w:hAnsi="Times New Roman"/>
                <w:sz w:val="24"/>
              </w:rPr>
            </w:pPr>
            <w:r>
              <w:rPr>
                <w:rFonts w:ascii="Times New Roman" w:hAnsi="Times New Roman"/>
                <w:b w:val="1"/>
                <w:color w:val="000000"/>
                <w:sz w:val="24"/>
              </w:rPr>
              <w:t>Умови договору про закупівлю</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hAnsi="Times New Roman"/>
                <w:sz w:val="24"/>
              </w:rPr>
            </w:pPr>
            <w:r>
              <w:rPr>
                <w:rFonts w:ascii="Times New Roman" w:hAnsi="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beforeAutospacing="0" w:afterAutospacing="0"/>
              <w:jc w:val="both"/>
              <w:rPr>
                <w:rFonts w:ascii="Times New Roman" w:hAnsi="Times New Roman"/>
                <w:sz w:val="24"/>
              </w:rPr>
            </w:pPr>
            <w:r>
              <w:rPr>
                <w:rFonts w:ascii="Times New Roman" w:hAnsi="Times New Roman"/>
                <w:sz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4"/>
                <w:shd w:val="clear" w:fill="FFFFFF"/>
              </w:rPr>
              <w:t>у тому числі за результатами електронного аукціону, кр</w:t>
            </w:r>
            <w:r>
              <w:rPr>
                <w:rFonts w:ascii="Times New Roman" w:hAnsi="Times New Roman"/>
                <w:sz w:val="24"/>
              </w:rPr>
              <w:t>ім випадків:</w:t>
            </w:r>
          </w:p>
          <w:p>
            <w:pPr>
              <w:widowControl w:val="0"/>
              <w:jc w:val="both"/>
              <w:rPr>
                <w:rFonts w:ascii="Times New Roman" w:hAnsi="Times New Roman"/>
                <w:sz w:val="24"/>
              </w:rPr>
            </w:pPr>
            <w:r>
              <w:rPr>
                <w:rFonts w:ascii="Times New Roman" w:hAnsi="Times New Roman"/>
                <w:sz w:val="24"/>
              </w:rPr>
              <w:t>визначення грошового еквівалента зобов’язання в іноземній валюті;</w:t>
            </w:r>
          </w:p>
          <w:p>
            <w:pPr>
              <w:widowControl w:val="0"/>
              <w:jc w:val="both"/>
              <w:rPr>
                <w:rFonts w:ascii="Times New Roman" w:hAnsi="Times New Roman"/>
                <w:sz w:val="24"/>
              </w:rPr>
            </w:pPr>
            <w:r>
              <w:rPr>
                <w:rFonts w:ascii="Times New Roman" w:hAnsi="Times New Roman"/>
                <w:sz w:val="24"/>
              </w:rPr>
              <w:t>перерахунку ціни в бік зменшення ціни тендерної пропозиції переможця без зменшення обсягів закупівлі;</w:t>
            </w:r>
          </w:p>
        </w:tc>
      </w:tr>
      <w:tr>
        <w:trPr>
          <w:trHeight w:hRule="atLeast" w:val="1119"/>
        </w:trPr>
        <w:tc>
          <w:tcPr>
            <w:tcW w:w="705" w:type="dxa"/>
          </w:tcPr>
          <w:p>
            <w:pPr>
              <w:widowControl w:val="0"/>
              <w:jc w:val="center"/>
              <w:rPr>
                <w:rFonts w:ascii="Times New Roman" w:hAnsi="Times New Roman"/>
                <w:sz w:val="24"/>
              </w:rPr>
            </w:pPr>
            <w:r>
              <w:rPr>
                <w:rFonts w:ascii="Times New Roman" w:hAnsi="Times New Roman"/>
                <w:sz w:val="24"/>
              </w:rPr>
              <w:t>5</w:t>
            </w:r>
          </w:p>
        </w:tc>
        <w:tc>
          <w:tcPr>
            <w:tcW w:w="2835" w:type="dxa"/>
          </w:tcPr>
          <w:p>
            <w:pPr>
              <w:widowControl w:val="0"/>
              <w:rPr>
                <w:rFonts w:ascii="Times New Roman" w:hAnsi="Times New Roman"/>
                <w:sz w:val="24"/>
              </w:rPr>
            </w:pPr>
            <w:r>
              <w:rPr>
                <w:rFonts w:ascii="Times New Roman" w:hAnsi="Times New Roman"/>
                <w:b w:val="1"/>
                <w:color w:val="000000"/>
                <w:sz w:val="24"/>
              </w:rPr>
              <w:t>Забезпечення виконання договору про закупівлю</w:t>
            </w:r>
          </w:p>
        </w:tc>
        <w:tc>
          <w:tcPr>
            <w:tcW w:w="6420" w:type="dxa"/>
            <w:vAlign w:val="center"/>
          </w:tcPr>
          <w:p>
            <w:pPr>
              <w:widowControl w:val="0"/>
              <w:ind w:right="120"/>
              <w:jc w:val="both"/>
              <w:rPr>
                <w:rFonts w:ascii="Times New Roman" w:hAnsi="Times New Roman"/>
                <w:color w:val="FF0000"/>
                <w:sz w:val="24"/>
                <w:shd w:val="clear" w:fill="FFFF00"/>
              </w:rPr>
            </w:pPr>
            <w:r>
              <w:rPr>
                <w:rFonts w:ascii="Times New Roman" w:hAnsi="Times New Roman"/>
                <w:color w:val="auto"/>
                <w:sz w:val="24"/>
              </w:rPr>
              <w:t>Забезпечення виконання договору про закупівлю не вимагається.</w:t>
            </w:r>
          </w:p>
        </w:tc>
      </w:tr>
    </w:tbl>
    <w:p>
      <w:pPr>
        <w:widowControl w:val="0"/>
        <w:spacing w:lineRule="auto" w:line="240" w:after="0" w:beforeAutospacing="0" w:afterAutospacing="0"/>
        <w:jc w:val="both"/>
        <w:rPr>
          <w:rFonts w:ascii="Times New Roman" w:hAnsi="Times New Roman"/>
          <w:sz w:val="24"/>
        </w:rPr>
      </w:pPr>
      <w:bookmarkStart w:id="9" w:name="_heading=h.2s8eyo1"/>
      <w:bookmarkEnd w:id="9"/>
    </w:p>
    <w:sectPr>
      <w:footerReference xmlns:r="http://schemas.openxmlformats.org/officeDocument/2006/relationships" w:type="first" r:id="RelFtr1"/>
      <w:footerReference xmlns:r="http://schemas.openxmlformats.org/officeDocument/2006/relationships" w:type="default" r:id="RelFtr2"/>
      <w:type w:val="nextPage"/>
      <w:pgSz w:w="11906" w:h="16838" w:code="9"/>
      <w:pgMar w:left="1417" w:right="850" w:top="850" w:bottom="682" w:header="708" w:footer="708" w:gutter="0"/>
      <w:pgNumType w:start="1" w:chapSep="period"/>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numbering.xml><?xml version="1.0" encoding="utf-8"?>
<w:numbering xmlns:w="http://schemas.openxmlformats.org/wordprocessingml/2006/main">
  <w:abstractNum w:abstractNumId="0">
    <w:nsid w:val="60976B91"/>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1">
    <w:nsid w:val="6700A3DC"/>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8"/>
    <w:next w:val="P8"/>
    <w:pPr>
      <w:keepNext w:val="1"/>
      <w:keepLines w:val="1"/>
      <w:spacing w:before="480" w:after="120" w:beforeAutospacing="0" w:afterAutospacing="0"/>
      <w:outlineLvl w:val="0"/>
    </w:pPr>
    <w:rPr>
      <w:b w:val="1"/>
      <w:sz w:val="48"/>
    </w:rPr>
  </w:style>
  <w:style w:type="paragraph" w:styleId="P2">
    <w:name w:val="heading 2"/>
    <w:basedOn w:val="P8"/>
    <w:next w:val="P8"/>
    <w:pPr>
      <w:keepNext w:val="1"/>
      <w:keepLines w:val="1"/>
      <w:spacing w:before="360" w:after="80" w:beforeAutospacing="0" w:afterAutospacing="0"/>
      <w:outlineLvl w:val="1"/>
    </w:pPr>
    <w:rPr>
      <w:b w:val="1"/>
      <w:sz w:val="36"/>
    </w:rPr>
  </w:style>
  <w:style w:type="paragraph" w:styleId="P3">
    <w:name w:val="heading 3"/>
    <w:basedOn w:val="P8"/>
    <w:next w:val="P8"/>
    <w:pPr>
      <w:keepNext w:val="1"/>
      <w:keepLines w:val="1"/>
      <w:spacing w:before="280" w:after="80" w:beforeAutospacing="0" w:afterAutospacing="0"/>
      <w:outlineLvl w:val="2"/>
    </w:pPr>
    <w:rPr>
      <w:b w:val="1"/>
      <w:sz w:val="28"/>
    </w:rPr>
  </w:style>
  <w:style w:type="paragraph" w:styleId="P4">
    <w:name w:val="heading 4"/>
    <w:basedOn w:val="P8"/>
    <w:next w:val="P8"/>
    <w:pPr>
      <w:keepNext w:val="1"/>
      <w:keepLines w:val="1"/>
      <w:spacing w:before="240" w:after="40" w:beforeAutospacing="0" w:afterAutospacing="0"/>
      <w:outlineLvl w:val="3"/>
    </w:pPr>
    <w:rPr>
      <w:b w:val="1"/>
      <w:sz w:val="24"/>
    </w:rPr>
  </w:style>
  <w:style w:type="paragraph" w:styleId="P5">
    <w:name w:val="heading 5"/>
    <w:basedOn w:val="P8"/>
    <w:next w:val="P8"/>
    <w:pPr>
      <w:keepNext w:val="1"/>
      <w:keepLines w:val="1"/>
      <w:spacing w:before="220" w:after="40" w:beforeAutospacing="0" w:afterAutospacing="0"/>
      <w:outlineLvl w:val="4"/>
    </w:pPr>
    <w:rPr>
      <w:b w:val="1"/>
    </w:rPr>
  </w:style>
  <w:style w:type="paragraph" w:styleId="P6">
    <w:name w:val="heading 6"/>
    <w:basedOn w:val="P8"/>
    <w:next w:val="P8"/>
    <w:pPr>
      <w:keepNext w:val="1"/>
      <w:keepLines w:val="1"/>
      <w:spacing w:before="200" w:after="40" w:beforeAutospacing="0" w:afterAutospacing="0"/>
      <w:outlineLvl w:val="5"/>
    </w:pPr>
    <w:rPr>
      <w:b w:val="1"/>
      <w:sz w:val="20"/>
    </w:rPr>
  </w:style>
  <w:style w:type="paragraph" w:styleId="P7">
    <w:name w:val="Title"/>
    <w:basedOn w:val="P8"/>
    <w:next w:val="P8"/>
    <w:pPr>
      <w:keepNext w:val="1"/>
      <w:keepLines w:val="1"/>
      <w:spacing w:before="480" w:after="120" w:beforeAutospacing="0" w:afterAutospacing="0"/>
    </w:pPr>
    <w:rPr>
      <w:b w:val="1"/>
      <w:sz w:val="72"/>
    </w:rPr>
  </w:style>
  <w:style w:type="paragraph" w:styleId="P8">
    <w:name w:val="Normal"/>
    <w:qFormat/>
    <w:pPr/>
    <w:rPr/>
  </w:style>
  <w:style w:type="paragraph" w:styleId="P9">
    <w:name w:val="List Paragraph"/>
    <w:basedOn w:val="P8"/>
    <w:qFormat/>
    <w:pPr>
      <w:ind w:left="720"/>
      <w:contextualSpacing w:val="1"/>
    </w:pPr>
    <w:rPr/>
  </w:style>
  <w:style w:type="paragraph" w:styleId="P10">
    <w:name w:val="Balloon Text"/>
    <w:basedOn w:val="P8"/>
    <w:link w:val="C4"/>
    <w:semiHidden/>
    <w:pPr>
      <w:spacing w:lineRule="auto" w:line="240" w:after="0" w:beforeAutospacing="0" w:afterAutospacing="0"/>
    </w:pPr>
    <w:rPr>
      <w:rFonts w:ascii="Segoe UI" w:hAnsi="Segoe UI"/>
      <w:sz w:val="18"/>
    </w:rPr>
  </w:style>
  <w:style w:type="paragraph" w:styleId="P11">
    <w:name w:val="Normal (Web)"/>
    <w:basedOn w:val="P8"/>
    <w:qFormat/>
    <w:pPr>
      <w:spacing w:lineRule="auto" w:line="240" w:before="100" w:after="100" w:beforeAutospacing="1" w:afterAutospacing="1"/>
    </w:pPr>
    <w:rPr>
      <w:rFonts w:ascii="Times New Roman" w:hAnsi="Times New Roman"/>
      <w:sz w:val="24"/>
    </w:rPr>
  </w:style>
  <w:style w:type="paragraph" w:styleId="P12">
    <w:name w:val="tj"/>
    <w:basedOn w:val="P8"/>
    <w:pPr>
      <w:spacing w:lineRule="auto" w:line="240" w:before="100" w:after="100" w:beforeAutospacing="1" w:afterAutospacing="1"/>
    </w:pPr>
    <w:rPr>
      <w:rFonts w:ascii="Times New Roman" w:hAnsi="Times New Roman"/>
      <w:sz w:val="24"/>
    </w:rPr>
  </w:style>
  <w:style w:type="paragraph" w:styleId="P13">
    <w:name w:val="rvps2"/>
    <w:basedOn w:val="P8"/>
    <w:pPr>
      <w:spacing w:lineRule="auto" w:line="240" w:before="100" w:after="100" w:beforeAutospacing="1" w:afterAutospacing="1"/>
    </w:pPr>
    <w:rPr>
      <w:rFonts w:ascii="Times New Roman" w:hAnsi="Times New Roman"/>
      <w:sz w:val="24"/>
    </w:rPr>
  </w:style>
  <w:style w:type="paragraph" w:styleId="P14">
    <w:name w:val="Subtitle"/>
    <w:basedOn w:val="P0"/>
    <w:next w:val="P0"/>
    <w:pPr>
      <w:keepNext w:val="1"/>
      <w:keepLines w:val="1"/>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59" w:before="360" w:after="80" w:beforeAutospacing="0" w:afterAutospacing="0"/>
      <w:ind w:firstLine="0" w:left="0" w:right="0"/>
      <w:jc w:val="left"/>
    </w:pPr>
    <w:rPr>
      <w:rFonts w:ascii="Georgia" w:hAnsi="Georgia"/>
      <w:b w:val="0"/>
      <w:i w:val="1"/>
      <w:strike w:val="0"/>
      <w:color w:val="666666"/>
      <w:sz w:val="48"/>
      <w:u w:val="none"/>
      <w:vertAlign w:val="baseline"/>
    </w:rPr>
  </w:style>
  <w:style w:type="paragraph" w:styleId="P15">
    <w:name w:val="No Spacing"/>
    <w:basedOn w:val="P8"/>
    <w:pPr>
      <w:spacing w:lineRule="auto" w:line="240" w:after="0" w:beforeAutospacing="0" w:afterAutospacing="0"/>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Unresolved Mention"/>
    <w:basedOn w:val="C0"/>
    <w:semiHidden/>
    <w:rPr>
      <w:color w:val="605E5C"/>
      <w:shd w:val="clear" w:fill="E1DFDD"/>
    </w:rPr>
  </w:style>
  <w:style w:type="character" w:styleId="C4">
    <w:name w:val="Текст выноски Знак"/>
    <w:basedOn w:val="C0"/>
    <w:link w:val="P10"/>
    <w:semiHidden/>
    <w:rPr>
      <w:rFonts w:ascii="Segoe UI" w:hAnsi="Segoe UI"/>
      <w:sz w:val="18"/>
    </w:rPr>
  </w:style>
  <w:style w:type="character" w:styleId="C5">
    <w:name w:val="qowt-font2-timesnewroman"/>
    <w:qFormat/>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Table Grid"/>
    <w:basedOn w:val="T2"/>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
    <w:basedOn w:val="T0"/>
    <w:pPr>
      <w:spacing w:lineRule="auto" w:line="240" w:after="0" w:beforeAutospacing="0" w:afterAutospacing="0"/>
    </w:pPr>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