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C0F" w:rsidRDefault="00E07070">
      <w:pPr>
        <w:ind w:firstLine="567"/>
        <w:jc w:val="center"/>
        <w:rPr>
          <w:rFonts w:ascii="Times New Roman" w:hAnsi="Times New Roman"/>
          <w:color w:val="000000"/>
        </w:rPr>
      </w:pPr>
      <w:r>
        <w:rPr>
          <w:rFonts w:ascii="Times New Roman" w:hAnsi="Times New Roman"/>
          <w:b/>
          <w:color w:val="000000"/>
          <w:sz w:val="28"/>
          <w:szCs w:val="36"/>
          <w:lang w:val="uk-UA"/>
        </w:rPr>
        <w:t>Зазимська сільська рада</w:t>
      </w:r>
    </w:p>
    <w:p w:rsidR="00731C0F" w:rsidRDefault="00E07070">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rsidR="00731C0F" w:rsidRDefault="00731C0F">
      <w:pPr>
        <w:jc w:val="center"/>
        <w:rPr>
          <w:rFonts w:ascii="Times New Roman" w:eastAsia="Arial" w:hAnsi="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E07070">
      <w:pPr>
        <w:jc w:val="center"/>
        <w:rPr>
          <w:rFonts w:ascii="Times New Roman" w:hAnsi="Times New Roman" w:cs="Times New Roman"/>
        </w:rPr>
      </w:pPr>
      <w:r>
        <w:rPr>
          <w:rFonts w:ascii="Times New Roman" w:hAnsi="Times New Roman" w:cs="Times New Roman"/>
          <w:b/>
          <w:bCs/>
          <w:sz w:val="28"/>
          <w:lang w:val="uk-UA"/>
        </w:rPr>
        <w:t>ОГОЛОШЕННЯ</w:t>
      </w:r>
    </w:p>
    <w:p w:rsidR="00731C0F" w:rsidRDefault="00E07070">
      <w:pPr>
        <w:jc w:val="center"/>
        <w:rPr>
          <w:rFonts w:ascii="Times New Roman" w:hAnsi="Times New Roman" w:cs="Times New Roman"/>
        </w:rPr>
      </w:pPr>
      <w:r>
        <w:rPr>
          <w:rFonts w:ascii="Times New Roman" w:hAnsi="Times New Roman" w:cs="Times New Roman"/>
          <w:b/>
          <w:sz w:val="28"/>
          <w:lang w:val="uk-UA" w:eastAsia="uk-UA"/>
        </w:rPr>
        <w:t>ПРО ПРОВЕДЕННЯ СПРОЩЕНОЇ ЗАКУПІВЛІ</w:t>
      </w:r>
    </w:p>
    <w:p w:rsidR="00731C0F" w:rsidRDefault="00731C0F">
      <w:pPr>
        <w:jc w:val="center"/>
        <w:rPr>
          <w:rFonts w:ascii="Times New Roman" w:hAnsi="Times New Roman" w:cs="Times New Roman"/>
        </w:rPr>
      </w:pPr>
    </w:p>
    <w:p w:rsidR="00731C0F" w:rsidRDefault="00731C0F">
      <w:pPr>
        <w:jc w:val="center"/>
        <w:rPr>
          <w:rFonts w:ascii="Times New Roman" w:hAnsi="Times New Roman" w:cs="Times New Roman"/>
        </w:rPr>
      </w:pPr>
    </w:p>
    <w:p w:rsidR="00731C0F" w:rsidRDefault="00E07070">
      <w:pPr>
        <w:jc w:val="center"/>
        <w:rPr>
          <w:rFonts w:ascii="Times New Roman" w:eastAsia="Calibri" w:hAnsi="Times New Roman" w:cs="Times New Roman"/>
        </w:rPr>
      </w:pPr>
      <w:r>
        <w:rPr>
          <w:rFonts w:ascii="Times New Roman" w:eastAsia="Calibri" w:hAnsi="Times New Roman" w:cs="Times New Roman"/>
          <w:b/>
          <w:sz w:val="28"/>
          <w:lang w:val="uk-UA" w:bidi="en-US"/>
        </w:rPr>
        <w:t>згідно предмету закупівлі:</w:t>
      </w:r>
    </w:p>
    <w:p w:rsidR="00731C0F" w:rsidRDefault="00731C0F">
      <w:pPr>
        <w:jc w:val="center"/>
        <w:rPr>
          <w:rFonts w:ascii="Times New Roman" w:hAnsi="Times New Roman" w:cs="Times New Roman"/>
        </w:rPr>
      </w:pPr>
    </w:p>
    <w:p w:rsidR="00731C0F" w:rsidRDefault="00E07070">
      <w:pPr>
        <w:jc w:val="center"/>
        <w:rPr>
          <w:rFonts w:ascii="Times New Roman" w:eastAsia="Calibri" w:hAnsi="Times New Roman" w:cs="Times New Roman"/>
        </w:rPr>
      </w:pPr>
      <w:r>
        <w:rPr>
          <w:rFonts w:ascii="Times New Roman" w:eastAsia="Calibri" w:hAnsi="Times New Roman" w:cs="Times New Roman"/>
          <w:b/>
          <w:sz w:val="28"/>
          <w:lang w:val="uk-UA" w:bidi="en-US"/>
        </w:rPr>
        <w:t>ДК 021:2015 - 45454000-4 - «Реконструкція»</w:t>
      </w:r>
    </w:p>
    <w:p w:rsidR="00731C0F" w:rsidRDefault="00731C0F">
      <w:pPr>
        <w:jc w:val="center"/>
        <w:rPr>
          <w:rFonts w:ascii="Times New Roman" w:eastAsia="Calibri" w:hAnsi="Times New Roman" w:cs="Times New Roman"/>
        </w:rPr>
      </w:pPr>
    </w:p>
    <w:p w:rsidR="00731C0F" w:rsidRDefault="00731C0F">
      <w:pPr>
        <w:shd w:val="clear" w:color="auto" w:fill="FFFFFA"/>
        <w:jc w:val="center"/>
        <w:rPr>
          <w:rFonts w:ascii="Times New Roman" w:hAnsi="Times New Roman" w:cs="Times New Roman"/>
          <w:b/>
          <w:sz w:val="28"/>
          <w:lang w:val="uk-UA" w:eastAsia="uk-UA"/>
        </w:rPr>
      </w:pPr>
    </w:p>
    <w:p w:rsidR="00731C0F" w:rsidRDefault="00731C0F">
      <w:pPr>
        <w:shd w:val="clear" w:color="auto" w:fill="FFFFFA"/>
        <w:jc w:val="center"/>
        <w:rPr>
          <w:rFonts w:ascii="Times New Roman" w:hAnsi="Times New Roman" w:cs="Times New Roman"/>
          <w:b/>
          <w:sz w:val="28"/>
          <w:lang w:val="uk-UA" w:eastAsia="uk-UA"/>
        </w:rPr>
      </w:pPr>
    </w:p>
    <w:p w:rsidR="00731C0F" w:rsidRDefault="00E07070">
      <w:pPr>
        <w:jc w:val="center"/>
        <w:rPr>
          <w:rFonts w:ascii="Times New Roman" w:hAnsi="Times New Roman" w:cs="Times New Roman"/>
          <w:b/>
          <w:sz w:val="28"/>
          <w:lang w:val="uk-UA" w:eastAsia="uk-UA"/>
        </w:rPr>
      </w:pPr>
      <w:r>
        <w:rPr>
          <w:rFonts w:ascii="Times New Roman" w:eastAsia="Calibri" w:hAnsi="Times New Roman" w:cs="Times New Roman"/>
          <w:b/>
          <w:color w:val="000000"/>
          <w:sz w:val="28"/>
          <w:lang w:val="uk-UA" w:eastAsia="uk-UA" w:bidi="en-US"/>
        </w:rPr>
        <w:t>Р</w:t>
      </w:r>
      <w:r>
        <w:rPr>
          <w:rFonts w:ascii="Times New Roman" w:hAnsi="Times New Roman" w:cs="Times New Roman"/>
          <w:b/>
          <w:color w:val="000000"/>
          <w:sz w:val="28"/>
          <w:lang w:val="uk-UA" w:eastAsia="uk-UA"/>
        </w:rPr>
        <w:t xml:space="preserve">еконструкція частини мережі вуличного освітлення </w:t>
      </w:r>
      <w:r w:rsidR="00ED15FC">
        <w:rPr>
          <w:rFonts w:ascii="Times New Roman" w:hAnsi="Times New Roman" w:cs="Times New Roman"/>
          <w:b/>
          <w:color w:val="000000"/>
          <w:sz w:val="28"/>
          <w:lang w:val="uk-UA" w:eastAsia="uk-UA"/>
        </w:rPr>
        <w:t>вул. Велика Садова</w:t>
      </w:r>
      <w:r w:rsidR="0062329C">
        <w:rPr>
          <w:rFonts w:ascii="Times New Roman" w:hAnsi="Times New Roman" w:cs="Times New Roman"/>
          <w:b/>
          <w:color w:val="000000"/>
          <w:sz w:val="28"/>
          <w:lang w:val="uk-UA" w:eastAsia="uk-UA"/>
        </w:rPr>
        <w:t xml:space="preserve"> в селі Літки</w:t>
      </w:r>
      <w:r>
        <w:rPr>
          <w:rFonts w:ascii="Times New Roman" w:hAnsi="Times New Roman" w:cs="Times New Roman"/>
          <w:b/>
          <w:color w:val="000000"/>
          <w:sz w:val="28"/>
          <w:lang w:val="uk-UA" w:eastAsia="uk-UA"/>
        </w:rPr>
        <w:t xml:space="preserve"> Броварського району Київської області</w:t>
      </w: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E07070">
      <w:pPr>
        <w:shd w:val="clear" w:color="auto" w:fill="FFFFFA"/>
        <w:jc w:val="center"/>
        <w:rPr>
          <w:rFonts w:ascii="Times New Roman" w:hAnsi="Times New Roman" w:cs="Times New Roman"/>
          <w:color w:val="000000"/>
        </w:rPr>
      </w:pPr>
      <w:r>
        <w:rPr>
          <w:rFonts w:ascii="Times New Roman" w:hAnsi="Times New Roman" w:cs="Times New Roman"/>
          <w:b/>
          <w:sz w:val="28"/>
          <w:lang w:val="uk-UA" w:eastAsia="uk-UA"/>
        </w:rPr>
        <w:t>Спрощена закупівля</w:t>
      </w: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E07070">
      <w:pPr>
        <w:shd w:val="clear" w:color="auto" w:fill="FFFFFA"/>
        <w:jc w:val="center"/>
        <w:rPr>
          <w:rFonts w:ascii="Times New Roman" w:hAnsi="Times New Roman" w:cs="Times New Roman"/>
          <w:color w:val="000000"/>
        </w:rPr>
      </w:pPr>
      <w:r>
        <w:rPr>
          <w:rFonts w:ascii="Times New Roman" w:hAnsi="Times New Roman" w:cs="Times New Roman"/>
          <w:b/>
          <w:bCs/>
          <w:color w:val="000000"/>
          <w:sz w:val="28"/>
          <w:lang w:val="uk-UA" w:eastAsia="uk-UA"/>
        </w:rPr>
        <w:t>с. Зазим</w:t>
      </w:r>
      <w:r>
        <w:rPr>
          <w:rFonts w:ascii="Calibri" w:hAnsi="Calibri" w:cs="Times New Roman"/>
          <w:b/>
          <w:bCs/>
          <w:color w:val="000000"/>
          <w:sz w:val="28"/>
          <w:lang w:val="uk-UA" w:eastAsia="uk-UA"/>
        </w:rPr>
        <w:t>'</w:t>
      </w:r>
      <w:r>
        <w:rPr>
          <w:rFonts w:ascii="Times New Roman" w:hAnsi="Times New Roman" w:cs="Times New Roman"/>
          <w:b/>
          <w:bCs/>
          <w:color w:val="000000"/>
          <w:sz w:val="28"/>
          <w:lang w:val="uk-UA" w:eastAsia="uk-UA"/>
        </w:rPr>
        <w:t>я 2022</w:t>
      </w:r>
      <w:r>
        <w:br w:type="page"/>
      </w:r>
    </w:p>
    <w:p w:rsidR="00731C0F" w:rsidRDefault="00E07070">
      <w:pPr>
        <w:widowControl/>
        <w:jc w:val="center"/>
        <w:rPr>
          <w:rFonts w:ascii="Times New Roman" w:hAnsi="Times New Roman" w:cs="Times New Roman"/>
          <w:color w:val="000000"/>
        </w:rPr>
      </w:pPr>
      <w:r>
        <w:rPr>
          <w:rFonts w:ascii="Times New Roman" w:hAnsi="Times New Roman" w:cs="Times New Roman"/>
          <w:b/>
          <w:bCs/>
          <w:color w:val="000000"/>
          <w:sz w:val="28"/>
          <w:lang w:val="uk-UA" w:eastAsia="uk-UA"/>
        </w:rPr>
        <w:lastRenderedPageBreak/>
        <w:t>ІНСТРУКЦІЇ УЧАСНИКАМ СПРОЩЕНОЇ ЗАКУПІВЛІ</w:t>
      </w:r>
    </w:p>
    <w:tbl>
      <w:tblPr>
        <w:tblStyle w:val="aff6"/>
        <w:tblW w:w="10019" w:type="dxa"/>
        <w:tblInd w:w="-205" w:type="dxa"/>
        <w:tblLayout w:type="fixed"/>
        <w:tblCellMar>
          <w:left w:w="5" w:type="dxa"/>
          <w:right w:w="5" w:type="dxa"/>
        </w:tblCellMar>
        <w:tblLook w:val="0000" w:firstRow="0" w:lastRow="0" w:firstColumn="0" w:lastColumn="0" w:noHBand="0" w:noVBand="0"/>
      </w:tblPr>
      <w:tblGrid>
        <w:gridCol w:w="814"/>
        <w:gridCol w:w="2886"/>
        <w:gridCol w:w="6319"/>
      </w:tblGrid>
      <w:tr w:rsidR="00731C0F">
        <w:tc>
          <w:tcPr>
            <w:tcW w:w="814" w:type="dxa"/>
          </w:tcPr>
          <w:p w:rsidR="00731C0F" w:rsidRDefault="00E07070">
            <w:pPr>
              <w:jc w:val="center"/>
              <w:rPr>
                <w:rFonts w:ascii="Times New Roman" w:hAnsi="Times New Roman" w:cs="Times New Roman"/>
                <w:color w:val="000000"/>
              </w:rPr>
            </w:pPr>
            <w:r>
              <w:rPr>
                <w:rFonts w:ascii="Times New Roman" w:hAnsi="Times New Roman" w:cs="Times New Roman"/>
                <w:color w:val="000000"/>
                <w:sz w:val="20"/>
                <w:lang w:val="uk-UA" w:eastAsia="uk-UA"/>
              </w:rPr>
              <w:t>N</w:t>
            </w:r>
          </w:p>
        </w:tc>
        <w:tc>
          <w:tcPr>
            <w:tcW w:w="9205" w:type="dxa"/>
            <w:gridSpan w:val="2"/>
          </w:tcPr>
          <w:p w:rsidR="00731C0F" w:rsidRDefault="00E07070">
            <w:pPr>
              <w:jc w:val="center"/>
              <w:rPr>
                <w:rFonts w:ascii="Times New Roman" w:hAnsi="Times New Roman" w:cs="Times New Roman"/>
                <w:sz w:val="20"/>
                <w:szCs w:val="20"/>
              </w:rPr>
            </w:pPr>
            <w:r>
              <w:rPr>
                <w:rFonts w:ascii="Times New Roman" w:hAnsi="Times New Roman" w:cs="Times New Roman"/>
                <w:b/>
                <w:color w:val="000000"/>
                <w:sz w:val="20"/>
                <w:szCs w:val="20"/>
                <w:lang w:val="uk-UA" w:eastAsia="uk-UA"/>
              </w:rPr>
              <w:t>Розділ 1. Загальні положення</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Терміни, які вживаються в оголошенні</w:t>
            </w:r>
          </w:p>
        </w:tc>
        <w:tc>
          <w:tcPr>
            <w:tcW w:w="6319" w:type="dxa"/>
            <w:vAlign w:val="center"/>
          </w:tcPr>
          <w:p w:rsidR="00731C0F" w:rsidRDefault="00E07070">
            <w:pPr>
              <w:ind w:firstLine="469"/>
              <w:jc w:val="both"/>
              <w:rPr>
                <w:rFonts w:ascii="Times New Roman" w:hAnsi="Times New Roman"/>
                <w:sz w:val="20"/>
                <w:szCs w:val="20"/>
              </w:rPr>
            </w:pPr>
            <w:r>
              <w:rPr>
                <w:rFonts w:ascii="Times New Roman" w:hAnsi="Times New Roman" w:cs="Times New Roman"/>
                <w:sz w:val="20"/>
                <w:szCs w:val="20"/>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w:t>
            </w:r>
            <w:r>
              <w:rPr>
                <w:rFonts w:ascii="Times New Roman" w:hAnsi="Times New Roman" w:cs="Times New Roman"/>
                <w:color w:val="000000"/>
                <w:sz w:val="20"/>
                <w:szCs w:val="20"/>
                <w:lang w:val="uk-UA"/>
              </w:rPr>
              <w:t>України</w:t>
            </w:r>
            <w:r>
              <w:rPr>
                <w:rFonts w:ascii="Times New Roman" w:hAnsi="Times New Roman" w:cs="Times New Roman"/>
                <w:sz w:val="20"/>
                <w:szCs w:val="20"/>
                <w:lang w:val="uk-UA" w:eastAsia="ru-RU"/>
              </w:rPr>
              <w:t xml:space="preserve"> від 19 квітня 2020 року № 114-IX  (далі – Закон). Терміни, які використовуються в ньому, вживаються в значеннях, визначених Законом.</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Інформація про замовника торгів</w:t>
            </w:r>
          </w:p>
        </w:tc>
        <w:tc>
          <w:tcPr>
            <w:tcW w:w="6319" w:type="dxa"/>
            <w:vAlign w:val="center"/>
          </w:tcPr>
          <w:p w:rsidR="00731C0F" w:rsidRDefault="00731C0F">
            <w:pPr>
              <w:rPr>
                <w:rFonts w:ascii="Times New Roman" w:hAnsi="Times New Roman" w:cs="Times New Roman"/>
                <w:sz w:val="20"/>
                <w:szCs w:val="20"/>
                <w:lang w:val="uk-UA"/>
              </w:rPr>
            </w:pP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color w:val="000000"/>
                <w:sz w:val="20"/>
                <w:szCs w:val="20"/>
                <w:lang w:val="uk-UA" w:eastAsia="uk-UA"/>
              </w:rPr>
              <w:t>повне найменування</w:t>
            </w:r>
          </w:p>
        </w:tc>
        <w:tc>
          <w:tcPr>
            <w:tcW w:w="6319" w:type="dxa"/>
            <w:vAlign w:val="center"/>
          </w:tcPr>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Зазимська сільська рада Броварського району Київської області</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color w:val="000000"/>
                <w:sz w:val="20"/>
                <w:szCs w:val="20"/>
                <w:lang w:val="uk-UA" w:eastAsia="uk-UA"/>
              </w:rPr>
              <w:t>Місцезнаходження (адреса)</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07415, с. Зазим'я, </w:t>
            </w:r>
            <w:r>
              <w:rPr>
                <w:rFonts w:ascii="Times New Roman" w:hAnsi="Times New Roman" w:cs="Times New Roman"/>
                <w:iCs/>
                <w:sz w:val="20"/>
                <w:szCs w:val="20"/>
                <w:lang w:val="uk-UA" w:eastAsia="ru-RU"/>
              </w:rPr>
              <w:t>вул. Широка, 6</w:t>
            </w:r>
            <w:r>
              <w:rPr>
                <w:rFonts w:ascii="Times New Roman" w:hAnsi="Times New Roman" w:cs="Times New Roman"/>
                <w:sz w:val="20"/>
                <w:szCs w:val="20"/>
                <w:lang w:val="uk-UA"/>
              </w:rPr>
              <w:t>, Броварський район, Київської області</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1.2.3</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Код ЄДРПОУ</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shd w:val="clear" w:color="auto" w:fill="FFFFFF"/>
                <w:lang w:val="uk-UA"/>
              </w:rPr>
              <w:t xml:space="preserve"> </w:t>
            </w:r>
            <w:r>
              <w:rPr>
                <w:rFonts w:ascii="Times New Roman" w:hAnsi="Times New Roman" w:cs="Times New Roman"/>
                <w:color w:val="000000"/>
                <w:sz w:val="20"/>
                <w:szCs w:val="20"/>
                <w:lang w:val="uk-UA" w:eastAsia="ru-RU"/>
              </w:rPr>
              <w:t>04363876</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1.2.4</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Категорія замовника</w:t>
            </w:r>
          </w:p>
        </w:tc>
        <w:tc>
          <w:tcPr>
            <w:tcW w:w="6319" w:type="dxa"/>
            <w:vAlign w:val="center"/>
          </w:tcPr>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rPr>
              <w:t>Орган місцевого самоврядування</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rsidR="00731C0F" w:rsidRDefault="00E07070">
            <w:pPr>
              <w:ind w:firstLine="46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 організаційних питань та технічних питань: начальник відділу економіки, інвестицій, публічних закупівель та правового забезпечення - Ярошинський Іван Миколайович.</w:t>
            </w:r>
          </w:p>
          <w:p w:rsidR="00731C0F" w:rsidRDefault="00E07070">
            <w:pPr>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Адреса та місцезнаходження: с. Зазим’я, вул. Широка, 6, Броварський район, Київської області, тел.: +380459429281, електронна адреса:</w:t>
            </w:r>
          </w:p>
          <w:p w:rsidR="00731C0F" w:rsidRDefault="00E07070">
            <w:pPr>
              <w:ind w:firstLine="46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zotg@ukr.net</w:t>
            </w:r>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w:t>
            </w:r>
          </w:p>
        </w:tc>
        <w:tc>
          <w:tcPr>
            <w:tcW w:w="2886" w:type="dxa"/>
            <w:vAlign w:val="center"/>
          </w:tcPr>
          <w:p w:rsidR="00731C0F" w:rsidRDefault="00E07070">
            <w:pPr>
              <w:rPr>
                <w:rFonts w:ascii="Times New Roman" w:hAnsi="Times New Roman"/>
                <w:sz w:val="20"/>
                <w:szCs w:val="20"/>
              </w:rPr>
            </w:pPr>
            <w:r>
              <w:rPr>
                <w:rFonts w:ascii="Times New Roman" w:hAnsi="Times New Roman" w:cs="Times New Roman"/>
                <w:color w:val="000000"/>
                <w:sz w:val="20"/>
                <w:szCs w:val="20"/>
                <w:lang w:val="uk-UA" w:eastAsia="uk-UA"/>
              </w:rPr>
              <w:t xml:space="preserve">Назва предмета закупівлі </w:t>
            </w:r>
            <w:r>
              <w:rPr>
                <w:rFonts w:ascii="Times New Roman" w:eastAsia="Calibri" w:hAnsi="Times New Roman" w:cs="Times New Roman"/>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rsidR="00731C0F" w:rsidRDefault="00E07070">
            <w:pPr>
              <w:ind w:firstLine="511"/>
              <w:jc w:val="both"/>
              <w:rPr>
                <w:rFonts w:ascii="Times New Roman" w:eastAsia="Calibri" w:hAnsi="Times New Roman"/>
                <w:sz w:val="20"/>
                <w:szCs w:val="20"/>
                <w:lang w:bidi="en-US"/>
              </w:rPr>
            </w:pPr>
            <w:r>
              <w:rPr>
                <w:rFonts w:ascii="Times New Roman" w:eastAsia="Calibri" w:hAnsi="Times New Roman" w:cs="Times New Roman"/>
                <w:color w:val="000000"/>
                <w:sz w:val="20"/>
                <w:szCs w:val="20"/>
                <w:lang w:val="uk-UA" w:bidi="en-US"/>
              </w:rPr>
              <w:t xml:space="preserve">Реконструкція частини мережі вуличного освітлення </w:t>
            </w:r>
            <w:r w:rsidR="00ED15FC">
              <w:rPr>
                <w:rFonts w:ascii="Times New Roman" w:eastAsia="Calibri" w:hAnsi="Times New Roman" w:cs="Times New Roman"/>
                <w:color w:val="000000"/>
                <w:sz w:val="20"/>
                <w:szCs w:val="20"/>
                <w:lang w:val="uk-UA" w:bidi="en-US"/>
              </w:rPr>
              <w:t>вул. Велика Садова</w:t>
            </w:r>
            <w:r w:rsidR="0062329C">
              <w:rPr>
                <w:rFonts w:ascii="Times New Roman" w:eastAsia="Calibri" w:hAnsi="Times New Roman" w:cs="Times New Roman"/>
                <w:color w:val="000000"/>
                <w:sz w:val="20"/>
                <w:szCs w:val="20"/>
                <w:lang w:val="uk-UA" w:bidi="en-US"/>
              </w:rPr>
              <w:t xml:space="preserve"> в селі Літки</w:t>
            </w:r>
            <w:r>
              <w:rPr>
                <w:rFonts w:ascii="Times New Roman" w:eastAsia="Calibri" w:hAnsi="Times New Roman" w:cs="Times New Roman"/>
                <w:color w:val="000000"/>
                <w:sz w:val="20"/>
                <w:szCs w:val="20"/>
                <w:lang w:val="uk-UA" w:bidi="en-US"/>
              </w:rPr>
              <w:t xml:space="preserve"> Броварського району Київської області</w:t>
            </w:r>
            <w:bookmarkStart w:id="0" w:name="_Hlk67669797"/>
            <w:r>
              <w:rPr>
                <w:rFonts w:ascii="Times New Roman" w:eastAsia="Calibri" w:hAnsi="Times New Roman" w:cs="Times New Roman"/>
                <w:sz w:val="20"/>
                <w:szCs w:val="20"/>
                <w:lang w:val="uk-UA" w:bidi="en-US"/>
              </w:rPr>
              <w:t>, згідно Єдиного закупівельного словника ДК 021:2015 - 45454000-4 - «Реконструкція»</w:t>
            </w:r>
            <w:bookmarkEnd w:id="0"/>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оголошенням про проведення спрощеної закупівлі не передбачено поділ предмета закупівлі на лоти</w:t>
            </w:r>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1.3.2</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технічні, якісні та інші характеристики предмета закупівлі;</w:t>
            </w:r>
          </w:p>
        </w:tc>
        <w:tc>
          <w:tcPr>
            <w:tcW w:w="6319" w:type="dxa"/>
            <w:vAlign w:val="center"/>
          </w:tcPr>
          <w:p w:rsidR="00731C0F" w:rsidRDefault="00E0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відповідно до технічних вимог (згідно з Додатком №3)</w:t>
            </w:r>
          </w:p>
        </w:tc>
      </w:tr>
      <w:tr w:rsidR="00731C0F">
        <w:tc>
          <w:tcPr>
            <w:tcW w:w="814" w:type="dxa"/>
            <w:vAlign w:val="center"/>
          </w:tcPr>
          <w:p w:rsidR="00731C0F" w:rsidRDefault="00E07070">
            <w:pPr>
              <w:jc w:val="center"/>
              <w:rPr>
                <w:rFonts w:ascii="Times New Roman" w:eastAsia="Calibri" w:hAnsi="Times New Roman" w:cs="Times New Roman"/>
                <w:b/>
              </w:rPr>
            </w:pPr>
            <w:r>
              <w:rPr>
                <w:rFonts w:ascii="Times New Roman" w:eastAsia="Calibri" w:hAnsi="Times New Roman" w:cs="Times New Roman"/>
                <w:b/>
                <w:sz w:val="20"/>
                <w:lang w:val="uk-UA" w:eastAsia="ru-RU"/>
              </w:rPr>
              <w:t>1.3.3</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кількість та місце поставки товарів або обсяг і місце виконання робіт чи надання послуг</w:t>
            </w:r>
          </w:p>
        </w:tc>
        <w:tc>
          <w:tcPr>
            <w:tcW w:w="6319" w:type="dxa"/>
            <w:vAlign w:val="center"/>
          </w:tcPr>
          <w:p w:rsidR="00731C0F" w:rsidRDefault="00E07070">
            <w:pPr>
              <w:shd w:val="clear" w:color="auto" w:fill="FFFFFF"/>
              <w:ind w:right="14"/>
              <w:jc w:val="both"/>
              <w:rPr>
                <w:rFonts w:ascii="Times New Roman" w:hAnsi="Times New Roman" w:cs="Times New Roman"/>
                <w:sz w:val="20"/>
                <w:szCs w:val="20"/>
              </w:rPr>
            </w:pPr>
            <w:r>
              <w:rPr>
                <w:rFonts w:ascii="Times New Roman" w:eastAsia="Calibri" w:hAnsi="Times New Roman" w:cs="Times New Roman"/>
                <w:sz w:val="20"/>
                <w:szCs w:val="20"/>
                <w:lang w:val="uk-UA" w:eastAsia="ru-RU"/>
              </w:rPr>
              <w:t>кількість робіт: 1 робота</w:t>
            </w:r>
          </w:p>
          <w:p w:rsidR="00731C0F" w:rsidRDefault="00E07070">
            <w:pPr>
              <w:shd w:val="clear" w:color="auto" w:fill="FFFFFF"/>
              <w:ind w:right="14"/>
              <w:jc w:val="both"/>
              <w:rPr>
                <w:rFonts w:ascii="Times New Roman" w:hAnsi="Times New Roman"/>
                <w:sz w:val="20"/>
                <w:szCs w:val="20"/>
              </w:rPr>
            </w:pPr>
            <w:r>
              <w:rPr>
                <w:rFonts w:ascii="Times New Roman" w:hAnsi="Times New Roman" w:cs="Times New Roman"/>
                <w:sz w:val="20"/>
                <w:szCs w:val="20"/>
                <w:lang w:val="uk-UA" w:eastAsia="uk-UA"/>
              </w:rPr>
              <w:t xml:space="preserve">обсяг та </w:t>
            </w:r>
            <w:r>
              <w:rPr>
                <w:rFonts w:ascii="Times New Roman" w:eastAsia="Calibri" w:hAnsi="Times New Roman" w:cs="Times New Roman"/>
                <w:sz w:val="20"/>
                <w:szCs w:val="20"/>
                <w:lang w:val="uk-UA" w:eastAsia="ru-RU"/>
              </w:rPr>
              <w:t>технічні вимог</w:t>
            </w:r>
            <w:r>
              <w:rPr>
                <w:rFonts w:ascii="Times New Roman" w:hAnsi="Times New Roman" w:cs="Times New Roman"/>
                <w:sz w:val="20"/>
                <w:szCs w:val="20"/>
                <w:lang w:val="uk-UA" w:eastAsia="uk-UA"/>
              </w:rPr>
              <w:t xml:space="preserve">и до виконання робіт наведено в </w:t>
            </w:r>
            <w:r>
              <w:rPr>
                <w:rFonts w:ascii="Times New Roman" w:eastAsia="Calibri" w:hAnsi="Times New Roman" w:cs="Times New Roman"/>
                <w:sz w:val="20"/>
                <w:szCs w:val="20"/>
                <w:lang w:val="uk-UA" w:eastAsia="ru-RU"/>
              </w:rPr>
              <w:t>Додатку №3</w:t>
            </w:r>
            <w:r>
              <w:rPr>
                <w:rFonts w:ascii="Times New Roman" w:hAnsi="Times New Roman"/>
                <w:sz w:val="20"/>
                <w:szCs w:val="20"/>
                <w:lang w:val="uk-UA"/>
              </w:rPr>
              <w:t xml:space="preserve"> до цього оголошення.</w:t>
            </w:r>
          </w:p>
          <w:p w:rsidR="00731C0F" w:rsidRDefault="00E07070">
            <w:pPr>
              <w:shd w:val="clear" w:color="auto" w:fill="FFFFFF"/>
              <w:ind w:right="14"/>
              <w:jc w:val="both"/>
              <w:rPr>
                <w:rFonts w:ascii="Times New Roman" w:hAnsi="Times New Roman"/>
                <w:sz w:val="20"/>
                <w:szCs w:val="20"/>
              </w:rPr>
            </w:pPr>
            <w:r>
              <w:rPr>
                <w:rFonts w:ascii="Times New Roman" w:eastAsia="Calibri" w:hAnsi="Times New Roman" w:cs="Times New Roman"/>
                <w:sz w:val="20"/>
                <w:szCs w:val="20"/>
                <w:lang w:val="uk-UA" w:eastAsia="ru-RU"/>
              </w:rPr>
              <w:t xml:space="preserve">місце виконання робіт: </w:t>
            </w:r>
            <w:r w:rsidR="00ED15FC">
              <w:rPr>
                <w:rFonts w:ascii="Times New Roman" w:eastAsia="Calibri" w:hAnsi="Times New Roman" w:cs="Times New Roman"/>
                <w:color w:val="000000"/>
                <w:sz w:val="20"/>
                <w:szCs w:val="20"/>
                <w:lang w:val="uk-UA" w:bidi="en-US"/>
              </w:rPr>
              <w:t>вул. Велика Садова</w:t>
            </w:r>
            <w:r w:rsidR="00ED15FC">
              <w:rPr>
                <w:rFonts w:ascii="Times New Roman" w:eastAsia="Calibri" w:hAnsi="Times New Roman" w:cs="Times New Roman"/>
                <w:color w:val="000000"/>
                <w:sz w:val="20"/>
                <w:szCs w:val="20"/>
                <w:lang w:val="uk-UA" w:bidi="en-US"/>
              </w:rPr>
              <w:t xml:space="preserve"> </w:t>
            </w:r>
            <w:r w:rsidR="0062329C">
              <w:rPr>
                <w:rFonts w:ascii="Times New Roman" w:eastAsia="Calibri" w:hAnsi="Times New Roman" w:cs="Times New Roman"/>
                <w:color w:val="000000"/>
                <w:sz w:val="20"/>
                <w:szCs w:val="20"/>
                <w:lang w:val="uk-UA" w:bidi="en-US"/>
              </w:rPr>
              <w:t>в селі Літки</w:t>
            </w:r>
            <w:r w:rsidR="0062329C">
              <w:rPr>
                <w:rFonts w:ascii="Times New Roman" w:eastAsia="Calibri" w:hAnsi="Times New Roman" w:cs="Times New Roman"/>
                <w:color w:val="000000"/>
                <w:sz w:val="20"/>
                <w:szCs w:val="20"/>
                <w:lang w:val="uk-UA" w:eastAsia="ru-RU"/>
              </w:rPr>
              <w:t xml:space="preserve"> </w:t>
            </w:r>
            <w:r>
              <w:rPr>
                <w:rFonts w:ascii="Times New Roman" w:eastAsia="Calibri" w:hAnsi="Times New Roman" w:cs="Times New Roman"/>
                <w:color w:val="000000"/>
                <w:sz w:val="20"/>
                <w:szCs w:val="20"/>
                <w:lang w:val="uk-UA" w:eastAsia="ru-RU"/>
              </w:rPr>
              <w:t>Броварського району Київської області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1.3.4.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строк виконання робіт</w:t>
            </w:r>
          </w:p>
        </w:tc>
        <w:tc>
          <w:tcPr>
            <w:tcW w:w="6319" w:type="dxa"/>
            <w:vAlign w:val="center"/>
          </w:tcPr>
          <w:p w:rsidR="00731C0F" w:rsidRDefault="00E07070">
            <w:pPr>
              <w:jc w:val="both"/>
              <w:rPr>
                <w:rFonts w:ascii="Times New Roman" w:hAnsi="Times New Roman"/>
                <w:sz w:val="20"/>
                <w:szCs w:val="20"/>
              </w:rPr>
            </w:pPr>
            <w:r>
              <w:rPr>
                <w:rFonts w:ascii="Times New Roman" w:hAnsi="Times New Roman"/>
                <w:sz w:val="20"/>
                <w:szCs w:val="20"/>
              </w:rPr>
              <w:t xml:space="preserve">Підрядник зобов’язаний виконати Роботи, визначені умовами Договору та додатками до нього на протязі </w:t>
            </w:r>
            <w:r>
              <w:rPr>
                <w:rFonts w:ascii="Times New Roman" w:hAnsi="Times New Roman"/>
                <w:color w:val="FF0000"/>
                <w:sz w:val="20"/>
                <w:szCs w:val="20"/>
              </w:rPr>
              <w:t>________ (</w:t>
            </w:r>
            <w:r>
              <w:rPr>
                <w:rFonts w:ascii="Times New Roman" w:hAnsi="Times New Roman"/>
                <w:i/>
                <w:color w:val="FF0000"/>
                <w:sz w:val="20"/>
                <w:szCs w:val="20"/>
              </w:rPr>
              <w:t>прописом</w:t>
            </w:r>
            <w:r>
              <w:rPr>
                <w:rFonts w:ascii="Times New Roman" w:hAnsi="Times New Roman"/>
                <w:color w:val="FF0000"/>
                <w:sz w:val="20"/>
                <w:szCs w:val="20"/>
              </w:rPr>
              <w:t xml:space="preserve">) </w:t>
            </w:r>
            <w:r>
              <w:rPr>
                <w:rFonts w:ascii="Times New Roman" w:hAnsi="Times New Roman"/>
                <w:sz w:val="20"/>
                <w:szCs w:val="20"/>
              </w:rPr>
              <w:t xml:space="preserve">календарних днів </w:t>
            </w:r>
            <w:r>
              <w:rPr>
                <w:rFonts w:ascii="Times New Roman" w:hAnsi="Times New Roman"/>
                <w:color w:val="FF0000"/>
                <w:sz w:val="20"/>
                <w:szCs w:val="20"/>
              </w:rPr>
              <w:t xml:space="preserve">(учасник надає свою пропозицію, але не більше </w:t>
            </w:r>
            <w:r>
              <w:rPr>
                <w:rFonts w:ascii="Times New Roman" w:hAnsi="Times New Roman"/>
                <w:color w:val="FF0000"/>
                <w:sz w:val="20"/>
                <w:szCs w:val="20"/>
                <w:lang w:val="uk-UA"/>
              </w:rPr>
              <w:t>1</w:t>
            </w:r>
            <w:r>
              <w:rPr>
                <w:rFonts w:ascii="Times New Roman" w:hAnsi="Times New Roman"/>
                <w:color w:val="FF0000"/>
                <w:sz w:val="20"/>
                <w:szCs w:val="20"/>
              </w:rPr>
              <w:t xml:space="preserve">5 </w:t>
            </w:r>
            <w:r>
              <w:rPr>
                <w:rFonts w:ascii="Times New Roman" w:hAnsi="Times New Roman"/>
                <w:i/>
                <w:color w:val="FF0000"/>
                <w:sz w:val="20"/>
                <w:szCs w:val="20"/>
              </w:rPr>
              <w:t>(п'ят</w:t>
            </w:r>
            <w:r>
              <w:rPr>
                <w:rFonts w:ascii="Times New Roman" w:hAnsi="Times New Roman"/>
                <w:i/>
                <w:color w:val="FF0000"/>
                <w:sz w:val="20"/>
                <w:szCs w:val="20"/>
                <w:lang w:val="uk-UA"/>
              </w:rPr>
              <w:t>надцяти</w:t>
            </w:r>
            <w:r>
              <w:rPr>
                <w:rFonts w:ascii="Times New Roman" w:hAnsi="Times New Roman"/>
                <w:i/>
                <w:color w:val="FF0000"/>
                <w:sz w:val="20"/>
                <w:szCs w:val="20"/>
              </w:rPr>
              <w:t>)</w:t>
            </w:r>
            <w:r>
              <w:rPr>
                <w:rFonts w:ascii="Times New Roman" w:hAnsi="Times New Roman"/>
                <w:color w:val="FF0000"/>
                <w:sz w:val="20"/>
                <w:szCs w:val="20"/>
              </w:rPr>
              <w:t xml:space="preserve"> календарних днів)</w:t>
            </w:r>
            <w:r>
              <w:rPr>
                <w:rFonts w:ascii="Times New Roman" w:hAnsi="Times New Roman"/>
                <w:sz w:val="20"/>
                <w:szCs w:val="20"/>
              </w:rPr>
              <w:t xml:space="preserve"> з дати підписання </w:t>
            </w:r>
            <w:r>
              <w:rPr>
                <w:rFonts w:ascii="Times New Roman" w:hAnsi="Times New Roman"/>
                <w:sz w:val="20"/>
                <w:szCs w:val="20"/>
                <w:lang w:val="uk-UA"/>
              </w:rPr>
              <w:t>Д</w:t>
            </w:r>
            <w:r>
              <w:rPr>
                <w:rFonts w:ascii="Times New Roman" w:hAnsi="Times New Roman"/>
                <w:sz w:val="20"/>
                <w:szCs w:val="20"/>
              </w:rPr>
              <w:t xml:space="preserve">оговору уповноваженими особами </w:t>
            </w:r>
            <w:r>
              <w:rPr>
                <w:rFonts w:ascii="Times New Roman" w:hAnsi="Times New Roman"/>
                <w:sz w:val="20"/>
                <w:szCs w:val="20"/>
                <w:lang w:val="uk-UA"/>
              </w:rPr>
              <w:t>С</w:t>
            </w:r>
            <w:r>
              <w:rPr>
                <w:rFonts w:ascii="Times New Roman" w:hAnsi="Times New Roman"/>
                <w:sz w:val="20"/>
                <w:szCs w:val="20"/>
              </w:rPr>
              <w:t>торін.</w:t>
            </w:r>
          </w:p>
        </w:tc>
      </w:tr>
      <w:tr w:rsidR="00731C0F" w:rsidRPr="00ED15FC">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1.3.5.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умови оплати</w:t>
            </w:r>
          </w:p>
        </w:tc>
        <w:tc>
          <w:tcPr>
            <w:tcW w:w="6319" w:type="dxa"/>
            <w:vAlign w:val="center"/>
          </w:tcPr>
          <w:p w:rsidR="0062329C" w:rsidRPr="0062329C" w:rsidRDefault="0062329C" w:rsidP="0062329C">
            <w:pPr>
              <w:jc w:val="both"/>
              <w:rPr>
                <w:rFonts w:ascii="Times New Roman" w:hAnsi="Times New Roman" w:cs="Times New Roman"/>
                <w:bCs/>
                <w:sz w:val="20"/>
                <w:szCs w:val="20"/>
                <w:lang w:val="uk-UA"/>
              </w:rPr>
            </w:pPr>
            <w:r w:rsidRPr="0062329C">
              <w:rPr>
                <w:rFonts w:ascii="Times New Roman" w:hAnsi="Times New Roman" w:cs="Times New Roman"/>
                <w:bCs/>
                <w:sz w:val="20"/>
                <w:szCs w:val="20"/>
                <w:lang w:val="uk-UA"/>
              </w:rPr>
              <w:t>Замовник перераховує на поточний рахунок Підрядника 100% відсотків вартості Робіт протягом 10 (десяти) банківських днів з дати підписання уповноваженими особами Сторін Акту приймання - передавання виконаних Робіт (в розумінні Акт приймання будівельних робіт (Форма КБ-2в та Форма КБ-3) надалі - Акт, за цим Договором.</w:t>
            </w:r>
          </w:p>
          <w:p w:rsidR="00731C0F" w:rsidRPr="0062329C" w:rsidRDefault="0062329C" w:rsidP="0062329C">
            <w:pPr>
              <w:jc w:val="both"/>
              <w:rPr>
                <w:rFonts w:ascii="Times New Roman" w:hAnsi="Times New Roman"/>
                <w:sz w:val="20"/>
                <w:szCs w:val="20"/>
                <w:lang w:val="uk-UA"/>
              </w:rPr>
            </w:pPr>
            <w:r w:rsidRPr="0062329C">
              <w:rPr>
                <w:rFonts w:ascii="Times New Roman" w:hAnsi="Times New Roman" w:cs="Times New Roman"/>
                <w:bCs/>
                <w:sz w:val="20"/>
                <w:szCs w:val="20"/>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очікувана вартість предмета закупівлі</w:t>
            </w:r>
          </w:p>
        </w:tc>
        <w:tc>
          <w:tcPr>
            <w:tcW w:w="6319" w:type="dxa"/>
            <w:vAlign w:val="center"/>
          </w:tcPr>
          <w:p w:rsidR="00731C0F" w:rsidRDefault="00E07070">
            <w:pPr>
              <w:rPr>
                <w:rFonts w:ascii="Times New Roman" w:hAnsi="Times New Roman"/>
                <w:sz w:val="20"/>
                <w:szCs w:val="20"/>
              </w:rPr>
            </w:pPr>
            <w:r>
              <w:rPr>
                <w:rFonts w:ascii="Times New Roman" w:hAnsi="Times New Roman" w:cs="Times New Roman"/>
                <w:sz w:val="20"/>
                <w:szCs w:val="20"/>
                <w:lang w:val="uk-UA"/>
              </w:rPr>
              <w:t xml:space="preserve">визначена в річному плані проведення спрощеної закупівлі та в оголошенні, що оприлюднене в електронній системі закупівель та становить: </w:t>
            </w:r>
            <w:r w:rsidR="0062329C">
              <w:rPr>
                <w:rFonts w:ascii="Times New Roman" w:hAnsi="Times New Roman" w:cs="Times New Roman"/>
                <w:b/>
                <w:bCs/>
                <w:sz w:val="20"/>
                <w:szCs w:val="20"/>
                <w:lang w:val="uk-UA"/>
              </w:rPr>
              <w:t>29</w:t>
            </w:r>
            <w:r w:rsidR="00ED15FC">
              <w:rPr>
                <w:rFonts w:ascii="Times New Roman" w:hAnsi="Times New Roman" w:cs="Times New Roman"/>
                <w:b/>
                <w:bCs/>
                <w:sz w:val="20"/>
                <w:szCs w:val="20"/>
                <w:lang w:val="uk-UA"/>
              </w:rPr>
              <w:t>4</w:t>
            </w:r>
            <w:bookmarkStart w:id="1" w:name="_GoBack"/>
            <w:bookmarkEnd w:id="1"/>
            <w:r w:rsidR="0062329C">
              <w:rPr>
                <w:rFonts w:ascii="Times New Roman" w:hAnsi="Times New Roman" w:cs="Times New Roman"/>
                <w:b/>
                <w:bCs/>
                <w:sz w:val="20"/>
                <w:szCs w:val="20"/>
                <w:lang w:val="uk-UA"/>
              </w:rPr>
              <w:t> 990</w:t>
            </w:r>
            <w:r>
              <w:rPr>
                <w:rFonts w:ascii="Times New Roman" w:hAnsi="Times New Roman" w:cs="Times New Roman"/>
                <w:b/>
                <w:bCs/>
                <w:sz w:val="20"/>
                <w:szCs w:val="20"/>
                <w:lang w:val="uk-UA"/>
              </w:rPr>
              <w:t>,00</w:t>
            </w:r>
            <w:r>
              <w:rPr>
                <w:rFonts w:ascii="Times New Roman" w:hAnsi="Times New Roman" w:cs="Times New Roman"/>
                <w:b/>
                <w:sz w:val="20"/>
                <w:szCs w:val="20"/>
                <w:lang w:val="uk-UA"/>
              </w:rPr>
              <w:t xml:space="preserve"> грн.</w:t>
            </w:r>
            <w:r>
              <w:rPr>
                <w:rFonts w:ascii="Times New Roman" w:hAnsi="Times New Roman" w:cs="Times New Roman"/>
                <w:b/>
                <w:bCs/>
                <w:sz w:val="20"/>
                <w:szCs w:val="20"/>
                <w:lang w:val="uk-UA"/>
              </w:rPr>
              <w:t xml:space="preserve"> з ПДВ</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період уточнення інформації про закупівлю</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становить </w:t>
            </w:r>
            <w:r>
              <w:rPr>
                <w:rFonts w:ascii="Times New Roman" w:hAnsi="Times New Roman" w:cs="Times New Roman"/>
                <w:b/>
                <w:sz w:val="20"/>
                <w:szCs w:val="20"/>
                <w:lang w:val="uk-UA"/>
              </w:rPr>
              <w:t>не менше 3 (трьох) робочих днів</w:t>
            </w:r>
            <w:r>
              <w:rPr>
                <w:rFonts w:ascii="Times New Roman" w:hAnsi="Times New Roman" w:cs="Times New Roman"/>
                <w:bCs/>
                <w:sz w:val="20"/>
                <w:szCs w:val="20"/>
                <w:lang w:val="uk-UA"/>
              </w:rPr>
              <w:t xml:space="preserve"> з дня оприлюднення оголошення про проведення спрощеної закупівлі в електронній системі закупівель</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1.6.</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кінцевий строк подання </w:t>
            </w:r>
            <w:r>
              <w:rPr>
                <w:rFonts w:ascii="Times New Roman" w:hAnsi="Times New Roman" w:cs="Times New Roman"/>
                <w:sz w:val="20"/>
                <w:szCs w:val="20"/>
                <w:lang w:val="uk-UA" w:eastAsia="ru-RU"/>
              </w:rPr>
              <w:lastRenderedPageBreak/>
              <w:t>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закупівель)</w:t>
            </w:r>
          </w:p>
        </w:tc>
        <w:tc>
          <w:tcPr>
            <w:tcW w:w="6319" w:type="dxa"/>
            <w:vAlign w:val="center"/>
          </w:tcPr>
          <w:p w:rsidR="00731C0F" w:rsidRDefault="00E07070">
            <w:pPr>
              <w:jc w:val="both"/>
              <w:rPr>
                <w:rFonts w:ascii="Times New Roman" w:hAnsi="Times New Roman"/>
                <w:sz w:val="20"/>
                <w:szCs w:val="20"/>
                <w:shd w:val="clear" w:color="auto" w:fill="FFFFFF"/>
              </w:rPr>
            </w:pPr>
            <w:r>
              <w:rPr>
                <w:rFonts w:ascii="Times New Roman" w:hAnsi="Times New Roman" w:cs="Times New Roman"/>
                <w:b/>
                <w:bCs/>
                <w:sz w:val="20"/>
                <w:szCs w:val="20"/>
                <w:shd w:val="clear" w:color="auto" w:fill="FFFFFF"/>
                <w:lang w:val="uk-UA"/>
              </w:rPr>
              <w:lastRenderedPageBreak/>
              <w:t>Не менше ніж 2 (два) робочі дні</w:t>
            </w:r>
            <w:r>
              <w:rPr>
                <w:rFonts w:ascii="Times New Roman" w:hAnsi="Times New Roman" w:cs="Times New Roman"/>
                <w:sz w:val="20"/>
                <w:szCs w:val="20"/>
                <w:shd w:val="clear" w:color="auto" w:fill="FFFFFF"/>
                <w:lang w:val="uk-UA"/>
              </w:rPr>
              <w:t xml:space="preserve"> з дня закінчення періоду уточнення </w:t>
            </w:r>
            <w:r>
              <w:rPr>
                <w:rFonts w:ascii="Times New Roman" w:hAnsi="Times New Roman" w:cs="Times New Roman"/>
                <w:sz w:val="20"/>
                <w:szCs w:val="20"/>
                <w:shd w:val="clear" w:color="auto" w:fill="FFFFFF"/>
                <w:lang w:val="uk-UA"/>
              </w:rPr>
              <w:lastRenderedPageBreak/>
              <w:t xml:space="preserve">інформації про закупівлю та не менше ніж </w:t>
            </w:r>
            <w:r>
              <w:rPr>
                <w:rFonts w:ascii="Times New Roman" w:hAnsi="Times New Roman" w:cs="Times New Roman"/>
                <w:b/>
                <w:sz w:val="20"/>
                <w:szCs w:val="20"/>
                <w:shd w:val="clear" w:color="auto" w:fill="FFFFFF"/>
                <w:lang w:val="uk-UA"/>
              </w:rPr>
              <w:t xml:space="preserve">6 (шість) робочих днів </w:t>
            </w:r>
            <w:r>
              <w:rPr>
                <w:rFonts w:ascii="Times New Roman" w:hAnsi="Times New Roman" w:cs="Times New Roman"/>
                <w:sz w:val="20"/>
                <w:szCs w:val="20"/>
                <w:shd w:val="clear" w:color="auto" w:fill="FFFFFF"/>
                <w:lang w:val="uk-UA"/>
              </w:rPr>
              <w:t>з дня оприлюднення оголошення про проведення спрощеної закупівлі в електронній системі закупівель.</w:t>
            </w:r>
          </w:p>
          <w:p w:rsidR="00731C0F" w:rsidRDefault="00731C0F">
            <w:pPr>
              <w:jc w:val="both"/>
              <w:rPr>
                <w:rFonts w:ascii="Times New Roman" w:hAnsi="Times New Roman" w:cs="Times New Roman"/>
                <w:sz w:val="20"/>
                <w:szCs w:val="20"/>
                <w:shd w:val="clear" w:color="auto" w:fill="FFFFFF"/>
                <w:lang w:val="uk-UA"/>
              </w:rPr>
            </w:pPr>
          </w:p>
          <w:p w:rsidR="00731C0F" w:rsidRDefault="00E07070">
            <w:pPr>
              <w:jc w:val="both"/>
              <w:rPr>
                <w:rFonts w:ascii="Times New Roman" w:hAnsi="Times New Roman"/>
                <w:b/>
                <w:bCs/>
                <w:sz w:val="20"/>
                <w:szCs w:val="20"/>
              </w:rPr>
            </w:pPr>
            <w:r>
              <w:rPr>
                <w:rFonts w:ascii="Times New Roman" w:hAnsi="Times New Roman" w:cs="Times New Roman"/>
                <w:b/>
                <w:bCs/>
                <w:sz w:val="20"/>
                <w:szCs w:val="20"/>
                <w:lang w:val="uk-UA"/>
              </w:rPr>
              <w:t>Кінцевий строк подання пропозицій: зазначено в електронній системі закупівель.</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lastRenderedPageBreak/>
              <w:t>1.7.</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19" w:type="dxa"/>
            <w:vAlign w:val="center"/>
          </w:tcPr>
          <w:p w:rsidR="00731C0F" w:rsidRDefault="00E07070">
            <w:pPr>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визначено в Розділі 5 цього оголошення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1.8.</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19" w:type="dxa"/>
            <w:vAlign w:val="center"/>
          </w:tcPr>
          <w:p w:rsidR="00731C0F" w:rsidRDefault="00E07070">
            <w:pPr>
              <w:rPr>
                <w:rFonts w:ascii="Times New Roman" w:hAnsi="Times New Roman" w:cs="Times New Roman"/>
                <w:sz w:val="20"/>
                <w:szCs w:val="20"/>
                <w:lang w:val="uk-UA"/>
              </w:rPr>
            </w:pPr>
            <w:r>
              <w:rPr>
                <w:rFonts w:ascii="Times New Roman" w:hAnsi="Times New Roman" w:cs="Times New Roman"/>
                <w:sz w:val="20"/>
                <w:szCs w:val="20"/>
                <w:lang w:val="uk-UA"/>
              </w:rPr>
              <w:t>не вимагається замовником</w:t>
            </w:r>
          </w:p>
        </w:tc>
      </w:tr>
      <w:tr w:rsidR="00731C0F">
        <w:tc>
          <w:tcPr>
            <w:tcW w:w="814" w:type="dxa"/>
            <w:vAlign w:val="center"/>
          </w:tcPr>
          <w:p w:rsidR="00731C0F" w:rsidRDefault="00E07070">
            <w:pPr>
              <w:jc w:val="center"/>
              <w:rPr>
                <w:rFonts w:ascii="Times New Roman" w:hAnsi="Times New Roman" w:cs="Times New Roman"/>
                <w:b/>
                <w:highlight w:val="white"/>
              </w:rPr>
            </w:pPr>
            <w:r>
              <w:rPr>
                <w:rFonts w:ascii="Times New Roman" w:hAnsi="Times New Roman" w:cs="Times New Roman"/>
                <w:b/>
                <w:sz w:val="20"/>
                <w:highlight w:val="white"/>
                <w:lang w:val="uk-UA" w:eastAsia="uk-UA"/>
              </w:rPr>
              <w:t>1.9.</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19" w:type="dxa"/>
            <w:vAlign w:val="center"/>
          </w:tcPr>
          <w:p w:rsidR="00731C0F" w:rsidRDefault="00E07070">
            <w:pPr>
              <w:jc w:val="both"/>
              <w:rPr>
                <w:rFonts w:ascii="Times New Roman" w:hAnsi="Times New Roman"/>
                <w:sz w:val="20"/>
                <w:szCs w:val="20"/>
                <w:lang w:val="uk-UA"/>
              </w:rPr>
            </w:pPr>
            <w:r>
              <w:rPr>
                <w:rFonts w:ascii="Times New Roman" w:hAnsi="Times New Roman"/>
                <w:sz w:val="20"/>
                <w:szCs w:val="20"/>
                <w:lang w:val="uk-UA"/>
              </w:rPr>
              <w:t>не вимагається замовником</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1.10.</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додатково визначений в оголошенні, що оприлюднене в електронній системі закупівель</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1.11.</w:t>
            </w:r>
          </w:p>
        </w:tc>
        <w:tc>
          <w:tcPr>
            <w:tcW w:w="2886" w:type="dxa"/>
            <w:vAlign w:val="center"/>
          </w:tcPr>
          <w:p w:rsidR="00731C0F" w:rsidRDefault="00E07070">
            <w:pPr>
              <w:rPr>
                <w:rFonts w:ascii="Times New Roman" w:hAnsi="Times New Roman"/>
                <w:sz w:val="20"/>
                <w:szCs w:val="20"/>
              </w:rPr>
            </w:pPr>
            <w:r>
              <w:rPr>
                <w:rFonts w:ascii="Times New Roman" w:hAnsi="Times New Roman" w:cs="Times New Roman"/>
                <w:sz w:val="20"/>
                <w:szCs w:val="20"/>
                <w:lang w:val="uk-UA" w:eastAsia="uk-UA"/>
              </w:rPr>
              <w:t xml:space="preserve">Інформація про валюту </w:t>
            </w:r>
            <w:r>
              <w:rPr>
                <w:rFonts w:ascii="Times New Roman" w:eastAsia="Calibri" w:hAnsi="Times New Roman" w:cs="Times New Roman"/>
                <w:sz w:val="20"/>
                <w:szCs w:val="20"/>
                <w:lang w:val="uk-UA" w:eastAsia="ru-RU"/>
              </w:rPr>
              <w:t>(валюти), у якій (яких) повинна бути розрахована і зазначена ціна пропозиції</w:t>
            </w:r>
          </w:p>
        </w:tc>
        <w:tc>
          <w:tcPr>
            <w:tcW w:w="6319" w:type="dxa"/>
            <w:vAlign w:val="center"/>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uk-UA"/>
              </w:rPr>
              <w:t>валютою пропозиції спрощеної закупівлі є гривня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Інформація  про  мову (мови),  якою  (якими) повинні  бути  складені пропозиції</w:t>
            </w:r>
          </w:p>
        </w:tc>
        <w:tc>
          <w:tcPr>
            <w:tcW w:w="6319" w:type="dxa"/>
          </w:tcPr>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sz w:val="20"/>
                <w:szCs w:val="20"/>
                <w:lang w:val="uk-UA"/>
              </w:rPr>
              <w:t>т</w:t>
            </w:r>
            <w:r>
              <w:rPr>
                <w:rFonts w:ascii="Times New Roman" w:hAnsi="Times New Roman"/>
                <w:sz w:val="20"/>
                <w:szCs w:val="20"/>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sz w:val="20"/>
                <w:szCs w:val="20"/>
                <w:lang w:val="uk-UA"/>
              </w:rPr>
              <w:t>,</w:t>
            </w:r>
            <w:r>
              <w:rPr>
                <w:rFonts w:ascii="Times New Roman" w:hAnsi="Times New Roman"/>
                <w:sz w:val="20"/>
                <w:szCs w:val="20"/>
                <w:lang w:val="uk-UA" w:eastAsia="uk-UA"/>
              </w:rPr>
              <w:t xml:space="preserve"> знаку </w:t>
            </w:r>
            <w:r>
              <w:rPr>
                <w:rFonts w:ascii="Times New Roman" w:hAnsi="Times New Roman"/>
                <w:sz w:val="20"/>
                <w:szCs w:val="20"/>
                <w:lang w:val="uk-UA"/>
              </w:rPr>
              <w:t>якості</w:t>
            </w:r>
            <w:r>
              <w:rPr>
                <w:rFonts w:ascii="Times New Roman" w:hAnsi="Times New Roman"/>
                <w:sz w:val="20"/>
                <w:szCs w:val="20"/>
                <w:lang w:val="uk-UA" w:eastAsia="uk-UA"/>
              </w:rPr>
              <w:t>, загальноприйняті міжнародні терміни).</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Визначальним є текст, викладений українською мовою.</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eastAsia="Calibri" w:hAnsi="Times New Roman" w:cs="Times New Roman"/>
                <w:b/>
                <w:sz w:val="20"/>
                <w:szCs w:val="20"/>
                <w:lang w:val="uk-UA" w:eastAsia="ru-RU"/>
              </w:rPr>
              <w:t>Розділ 2. Порядок внесення змін та надання роз’яснень до оголошення про проведення спрощеної закупівлі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2.1</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Pr>
                <w:rFonts w:ascii="Times New Roman" w:hAnsi="Times New Roman" w:cs="Times New Roman"/>
                <w:sz w:val="20"/>
                <w:szCs w:val="20"/>
                <w:lang w:val="uk-UA" w:eastAsia="ru-RU"/>
              </w:rPr>
              <w:lastRenderedPageBreak/>
              <w:t>спрощеної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 xml:space="preserve">Замовник протягом </w:t>
            </w:r>
            <w:r>
              <w:rPr>
                <w:rFonts w:ascii="Times New Roman" w:hAnsi="Times New Roman" w:cs="Times New Roman"/>
                <w:b/>
                <w:sz w:val="20"/>
                <w:szCs w:val="20"/>
                <w:lang w:val="uk-UA" w:eastAsia="ru-RU"/>
              </w:rPr>
              <w:t>1 (одного) робочого дня</w:t>
            </w:r>
            <w:r>
              <w:rPr>
                <w:rFonts w:ascii="Times New Roman" w:hAnsi="Times New Roman" w:cs="Times New Roman"/>
                <w:sz w:val="20"/>
                <w:szCs w:val="20"/>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w:t>
            </w:r>
            <w:r>
              <w:rPr>
                <w:rFonts w:ascii="Times New Roman" w:hAnsi="Times New Roman" w:cs="Times New Roman"/>
                <w:b/>
                <w:sz w:val="20"/>
                <w:szCs w:val="20"/>
                <w:lang w:val="uk-UA" w:eastAsia="ru-RU"/>
              </w:rPr>
              <w:t>2 (два) робочі дні</w:t>
            </w:r>
            <w:r>
              <w:rPr>
                <w:rFonts w:ascii="Times New Roman" w:hAnsi="Times New Roman" w:cs="Times New Roman"/>
                <w:sz w:val="20"/>
                <w:szCs w:val="20"/>
                <w:lang w:val="uk-UA" w:eastAsia="ru-RU"/>
              </w:rPr>
              <w:t>.</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bookmarkStart w:id="2" w:name="_Toc367893128"/>
            <w:r>
              <w:rPr>
                <w:rFonts w:ascii="Times New Roman" w:eastAsia="Calibri" w:hAnsi="Times New Roman" w:cs="Times New Roman"/>
                <w:b/>
                <w:sz w:val="20"/>
                <w:szCs w:val="20"/>
                <w:lang w:val="uk-UA" w:eastAsia="ru-RU"/>
              </w:rPr>
              <w:t>Розділ 3. Інструкція з підготовки пропозицій</w:t>
            </w:r>
            <w:bookmarkEnd w:id="2"/>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Зміст і порядок подання пропозицій</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731C0F" w:rsidRDefault="00E07070">
            <w:pPr>
              <w:pStyle w:val="aff4"/>
              <w:ind w:left="0"/>
              <w:jc w:val="both"/>
              <w:rPr>
                <w:rFonts w:ascii="Times New Roman" w:hAnsi="Times New Roman"/>
                <w:sz w:val="20"/>
                <w:szCs w:val="20"/>
              </w:rPr>
            </w:pPr>
            <w:r>
              <w:rPr>
                <w:rFonts w:ascii="Times New Roman" w:hAnsi="Times New Roman" w:cs="Times New Roman"/>
                <w:sz w:val="20"/>
                <w:szCs w:val="20"/>
                <w:lang w:val="uk-UA" w:eastAsia="ru-RU"/>
              </w:rPr>
              <w:t xml:space="preserve">- заповненою формою «Пропозиція» згідно з  </w:t>
            </w:r>
            <w:r>
              <w:rPr>
                <w:rFonts w:ascii="Times New Roman" w:hAnsi="Times New Roman" w:cs="Times New Roman"/>
                <w:b/>
                <w:sz w:val="20"/>
                <w:szCs w:val="20"/>
                <w:lang w:val="uk-UA" w:eastAsia="ru-RU"/>
              </w:rPr>
              <w:t xml:space="preserve">Додатком №1 </w:t>
            </w:r>
            <w:r>
              <w:rPr>
                <w:rFonts w:ascii="Times New Roman" w:hAnsi="Times New Roman" w:cs="Times New Roman"/>
                <w:sz w:val="20"/>
                <w:szCs w:val="20"/>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sz w:val="20"/>
                <w:szCs w:val="20"/>
                <w:lang w:val="uk-UA" w:eastAsia="ru-RU"/>
              </w:rPr>
              <w:t>Додатком №2</w:t>
            </w:r>
            <w:r>
              <w:rPr>
                <w:rFonts w:ascii="Times New Roman" w:hAnsi="Times New Roman" w:cs="Times New Roman"/>
                <w:sz w:val="20"/>
                <w:szCs w:val="20"/>
                <w:lang w:val="uk-UA" w:eastAsia="ru-RU"/>
              </w:rPr>
              <w:t>);</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sz w:val="20"/>
                <w:szCs w:val="20"/>
                <w:lang w:val="uk-UA" w:eastAsia="ru-RU"/>
              </w:rPr>
              <w:t>Додатком №3</w:t>
            </w:r>
            <w:r>
              <w:rPr>
                <w:rFonts w:ascii="Times New Roman" w:hAnsi="Times New Roman" w:cs="Times New Roman"/>
                <w:sz w:val="20"/>
                <w:szCs w:val="20"/>
                <w:lang w:val="uk-UA" w:eastAsia="ru-RU"/>
              </w:rPr>
              <w:t>);</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sz w:val="20"/>
                <w:szCs w:val="20"/>
                <w:lang w:val="uk-UA" w:eastAsia="ru-RU"/>
              </w:rPr>
              <w:t>Додатком №2</w:t>
            </w:r>
            <w:r>
              <w:rPr>
                <w:rFonts w:ascii="Times New Roman" w:hAnsi="Times New Roman" w:cs="Times New Roman"/>
                <w:sz w:val="20"/>
                <w:szCs w:val="20"/>
                <w:lang w:val="uk-UA" w:eastAsia="ru-RU"/>
              </w:rPr>
              <w:t>);</w:t>
            </w:r>
          </w:p>
          <w:p w:rsidR="00731C0F" w:rsidRDefault="00E07070">
            <w:pPr>
              <w:pStyle w:val="aff4"/>
              <w:ind w:left="0"/>
              <w:jc w:val="both"/>
              <w:rPr>
                <w:rFonts w:ascii="Times New Roman" w:hAnsi="Times New Roman" w:cs="Times New Roman"/>
                <w:sz w:val="20"/>
                <w:szCs w:val="20"/>
              </w:rPr>
            </w:pPr>
            <w:r>
              <w:rPr>
                <w:rFonts w:ascii="Times New Roman" w:hAnsi="Times New Roman" w:cs="Times New Roman"/>
                <w:sz w:val="20"/>
                <w:szCs w:val="20"/>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731C0F" w:rsidRDefault="00E07070">
            <w:pPr>
              <w:pStyle w:val="aff4"/>
              <w:ind w:left="0"/>
              <w:jc w:val="both"/>
              <w:rPr>
                <w:rFonts w:ascii="Times New Roman" w:hAnsi="Times New Roman" w:cs="Times New Roman"/>
                <w:sz w:val="20"/>
                <w:szCs w:val="20"/>
              </w:rPr>
            </w:pPr>
            <w:r>
              <w:rPr>
                <w:rFonts w:ascii="Times New Roman" w:hAnsi="Times New Roman" w:cs="Times New Roman"/>
                <w:sz w:val="20"/>
                <w:szCs w:val="20"/>
                <w:lang w:val="uk-UA" w:eastAsia="ru-RU"/>
              </w:rPr>
              <w:t>- іншою  інформацією  та  документами  відповідно  до вимог оголошення.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Пропозиції учасників, подані після закінчення строку їх подання, електронною системою закупівель не приймаються.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eastAsia="ru-RU"/>
              </w:rPr>
              <w:t>Примітка:</w:t>
            </w:r>
            <w:r>
              <w:rPr>
                <w:rFonts w:ascii="Times New Roman" w:hAnsi="Times New Roman" w:cs="Times New Roman"/>
                <w:sz w:val="20"/>
                <w:szCs w:val="20"/>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w:t>
            </w:r>
            <w:r>
              <w:rPr>
                <w:rFonts w:ascii="Times New Roman" w:hAnsi="Times New Roman" w:cs="Times New Roman"/>
                <w:sz w:val="20"/>
                <w:szCs w:val="20"/>
                <w:lang w:val="uk-UA" w:eastAsia="ru-RU"/>
              </w:rPr>
              <w:lastRenderedPageBreak/>
              <w:t>відповідних документів.</w:t>
            </w:r>
          </w:p>
          <w:p w:rsidR="00731C0F" w:rsidRDefault="00E07070">
            <w:pPr>
              <w:tabs>
                <w:tab w:val="left" w:pos="646"/>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lastRenderedPageBreak/>
              <w:t>3.2.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Кваліфікаційні критерії до учасників</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Замовник установлює один або декілька кваліфікаційних критеріїв, а саме:</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1) наявність в учасника закупівлі обладнання, матеріально-технічної бази та технологій;</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2) наявність в учасника закупівлі працівників відповідної кваліфікації, які мають необхідні знання та досвід;</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4) наявність фінансової спроможності, яка підтверджується фінансовою звітністю.</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sz w:val="20"/>
                <w:szCs w:val="20"/>
                <w:lang w:val="uk-UA" w:eastAsia="ru-RU"/>
              </w:rPr>
              <w:t xml:space="preserve">Додатку №2 </w:t>
            </w:r>
            <w:r>
              <w:rPr>
                <w:rFonts w:ascii="Times New Roman" w:hAnsi="Times New Roman" w:cs="Times New Roman"/>
                <w:sz w:val="20"/>
                <w:szCs w:val="20"/>
                <w:lang w:val="uk-UA" w:eastAsia="ru-RU"/>
              </w:rPr>
              <w:t>до цього оголошення.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3.3.</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необхідні технічні, якісні та кількісні характеристики предмета закупівлі</w:t>
            </w:r>
          </w:p>
        </w:tc>
        <w:tc>
          <w:tcPr>
            <w:tcW w:w="6319" w:type="dxa"/>
          </w:tcPr>
          <w:p w:rsidR="00731C0F" w:rsidRDefault="00E07070">
            <w:pPr>
              <w:jc w:val="both"/>
              <w:rPr>
                <w:rFonts w:ascii="Times New Roman" w:eastAsia="Calibri" w:hAnsi="Times New Roman"/>
                <w:sz w:val="20"/>
                <w:szCs w:val="20"/>
              </w:rPr>
            </w:pPr>
            <w:r>
              <w:rPr>
                <w:rFonts w:ascii="Times New Roman" w:eastAsia="Calibri" w:hAnsi="Times New Roman" w:cs="Times New Roman"/>
                <w:sz w:val="20"/>
                <w:szCs w:val="20"/>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sz w:val="20"/>
                <w:szCs w:val="20"/>
                <w:lang w:val="uk-UA" w:eastAsia="ru-RU"/>
              </w:rPr>
              <w:t>Додатком №3</w:t>
            </w:r>
            <w:r>
              <w:rPr>
                <w:rFonts w:ascii="Times New Roman" w:eastAsia="Calibri" w:hAnsi="Times New Roman" w:cs="Times New Roman"/>
                <w:sz w:val="20"/>
                <w:szCs w:val="20"/>
                <w:lang w:val="uk-UA" w:eastAsia="ru-RU"/>
              </w:rPr>
              <w:t>).</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3.4.</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субпідрядника (субпідрядників)</w:t>
            </w:r>
          </w:p>
        </w:tc>
        <w:tc>
          <w:tcPr>
            <w:tcW w:w="6319" w:type="dxa"/>
          </w:tcPr>
          <w:p w:rsidR="00731C0F" w:rsidRDefault="00E07070">
            <w:pPr>
              <w:jc w:val="both"/>
              <w:rPr>
                <w:rFonts w:ascii="Times New Roman" w:hAnsi="Times New Roman"/>
                <w:sz w:val="20"/>
                <w:szCs w:val="20"/>
              </w:rPr>
            </w:pPr>
            <w:r>
              <w:rPr>
                <w:rFonts w:ascii="Times New Roman" w:hAnsi="Times New Roman"/>
                <w:sz w:val="20"/>
                <w:szCs w:val="20"/>
                <w:lang w:val="uk-UA"/>
              </w:rPr>
              <w:t xml:space="preserve">Залучення </w:t>
            </w:r>
            <w:r>
              <w:rPr>
                <w:rFonts w:ascii="Times New Roman" w:eastAsia="Calibri" w:hAnsi="Times New Roman" w:cs="Times New Roman"/>
                <w:sz w:val="20"/>
                <w:szCs w:val="20"/>
                <w:lang w:val="uk-UA" w:eastAsia="ru-RU"/>
              </w:rPr>
              <w:t>субпідрядника (субпідрядників) не передбачається.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Унесення змін або відкликання пропозиції учасником</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eastAsia="ar-SA"/>
              </w:rPr>
              <w:t>Розділ 4. Подання та розкриття пропозицій</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4.1.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Порядок подання пропозицій та кінцевий строк подання пропозицій</w:t>
            </w:r>
          </w:p>
        </w:tc>
        <w:tc>
          <w:tcPr>
            <w:tcW w:w="6319" w:type="dxa"/>
          </w:tcPr>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1) унікальний номер оголошення про проведення спрощеної закупівлі, присвоєний електронною системою закупівель;</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3) дата та час подання пропозиції.</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31C0F" w:rsidRPr="00ED15FC">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lastRenderedPageBreak/>
              <w:t>4.2.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Розкриття пропозицій</w:t>
            </w:r>
          </w:p>
        </w:tc>
        <w:tc>
          <w:tcPr>
            <w:tcW w:w="6319" w:type="dxa"/>
          </w:tcPr>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731C0F" w:rsidRDefault="00E07070">
            <w:pPr>
              <w:keepNext/>
              <w:keepLines/>
              <w:jc w:val="both"/>
              <w:rPr>
                <w:rFonts w:ascii="Times New Roman" w:hAnsi="Times New Roman" w:cs="Times New Roman"/>
                <w:sz w:val="20"/>
                <w:szCs w:val="20"/>
                <w:lang w:val="uk-UA"/>
              </w:rPr>
            </w:pPr>
            <w:r>
              <w:rPr>
                <w:rFonts w:ascii="Times New Roman" w:hAnsi="Times New Roman" w:cs="Times New Roman"/>
                <w:sz w:val="20"/>
                <w:szCs w:val="20"/>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731C0F">
        <w:tc>
          <w:tcPr>
            <w:tcW w:w="814" w:type="dxa"/>
            <w:vAlign w:val="center"/>
          </w:tcPr>
          <w:p w:rsidR="00731C0F" w:rsidRDefault="00731C0F">
            <w:pPr>
              <w:jc w:val="center"/>
              <w:rPr>
                <w:rFonts w:ascii="Times New Roman" w:hAnsi="Times New Roman" w:cs="Times New Roman"/>
                <w:b/>
                <w:lang w:val="uk-UA"/>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rPr>
              <w:t>Розділ 5. Оцінка пропозицій</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5.1.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Перелік критеріїв та методика оцінки пропозиції</w:t>
            </w:r>
          </w:p>
        </w:tc>
        <w:tc>
          <w:tcPr>
            <w:tcW w:w="6319" w:type="dxa"/>
          </w:tcPr>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5.1.1.</w:t>
            </w:r>
            <w:r>
              <w:rPr>
                <w:rFonts w:ascii="Times New Roman" w:hAnsi="Times New Roman" w:cs="Times New Roman"/>
                <w:sz w:val="20"/>
                <w:szCs w:val="20"/>
                <w:lang w:val="uk-UA"/>
              </w:rPr>
              <w:t xml:space="preserve"> </w:t>
            </w:r>
            <w:r>
              <w:rPr>
                <w:rFonts w:ascii="Times New Roman" w:hAnsi="Times New Roman" w:cs="Times New Roman"/>
                <w:iCs/>
                <w:sz w:val="20"/>
                <w:szCs w:val="20"/>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Дата і час проведення електронного аукціону визначаються електронною системою закупівель автоматично.</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 xml:space="preserve">5.1.2. Критеріями оцінки </w:t>
            </w:r>
            <w:r>
              <w:rPr>
                <w:rFonts w:ascii="Times New Roman" w:hAnsi="Times New Roman" w:cs="Times New Roman"/>
                <w:b/>
                <w:bCs/>
                <w:iCs/>
                <w:sz w:val="20"/>
                <w:szCs w:val="20"/>
                <w:lang w:val="uk-UA"/>
              </w:rPr>
              <w:t>(100 %)</w:t>
            </w:r>
            <w:r>
              <w:rPr>
                <w:rFonts w:ascii="Times New Roman" w:hAnsi="Times New Roman" w:cs="Times New Roman"/>
                <w:iCs/>
                <w:sz w:val="20"/>
                <w:szCs w:val="20"/>
                <w:lang w:val="uk-UA"/>
              </w:rPr>
              <w:t xml:space="preserve"> є ціна.</w:t>
            </w:r>
          </w:p>
          <w:p w:rsidR="00731C0F" w:rsidRDefault="00E07070">
            <w:pPr>
              <w:jc w:val="both"/>
              <w:rPr>
                <w:rFonts w:ascii="Times New Roman" w:hAnsi="Times New Roman" w:cs="Times New Roman"/>
                <w:sz w:val="20"/>
                <w:szCs w:val="20"/>
                <w:lang w:val="uk-UA"/>
              </w:rPr>
            </w:pPr>
            <w:r>
              <w:rPr>
                <w:rFonts w:ascii="Times New Roman" w:hAnsi="Times New Roman" w:cs="Times New Roman"/>
                <w:iCs/>
                <w:sz w:val="20"/>
                <w:szCs w:val="20"/>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sz w:val="20"/>
                <w:szCs w:val="20"/>
                <w:lang w:val="uk-UA"/>
              </w:rPr>
              <w:t>5 (п’яти) робочих днів</w:t>
            </w:r>
            <w:r>
              <w:rPr>
                <w:rFonts w:ascii="Times New Roman" w:hAnsi="Times New Roman" w:cs="Times New Roman"/>
                <w:iCs/>
                <w:sz w:val="20"/>
                <w:szCs w:val="20"/>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sz w:val="20"/>
                <w:szCs w:val="20"/>
                <w:lang w:val="uk-UA"/>
              </w:rPr>
              <w:t>20 (двадцяти) робочих днів</w:t>
            </w:r>
            <w:r>
              <w:rPr>
                <w:rFonts w:ascii="Times New Roman" w:hAnsi="Times New Roman" w:cs="Times New Roman"/>
                <w:iCs/>
                <w:sz w:val="20"/>
                <w:szCs w:val="20"/>
                <w:lang w:val="uk-UA"/>
              </w:rPr>
              <w:t xml:space="preserve">. У разі продовження строку замовник оприлюднює повідомлення в електронній системі закупівель протягом </w:t>
            </w:r>
            <w:r>
              <w:rPr>
                <w:rFonts w:ascii="Times New Roman" w:hAnsi="Times New Roman" w:cs="Times New Roman"/>
                <w:b/>
                <w:iCs/>
                <w:sz w:val="20"/>
                <w:szCs w:val="20"/>
                <w:lang w:val="uk-UA"/>
              </w:rPr>
              <w:t xml:space="preserve">1 (одного) дня </w:t>
            </w:r>
            <w:r>
              <w:rPr>
                <w:rFonts w:ascii="Times New Roman" w:hAnsi="Times New Roman" w:cs="Times New Roman"/>
                <w:iCs/>
                <w:sz w:val="20"/>
                <w:szCs w:val="20"/>
                <w:lang w:val="uk-UA"/>
              </w:rPr>
              <w:t>з дня прийняття відповідного рішення.</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5.1.8. Повідомлення про намір укласти договір про закупівлю замовник оприлюднює в електронній системі закупівель.</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731C0F" w:rsidRDefault="00E07070">
            <w:pPr>
              <w:jc w:val="both"/>
              <w:rPr>
                <w:rFonts w:ascii="Times New Roman" w:hAnsi="Times New Roman"/>
                <w:iCs/>
                <w:sz w:val="20"/>
                <w:szCs w:val="20"/>
              </w:rPr>
            </w:pPr>
            <w:r>
              <w:rPr>
                <w:rFonts w:ascii="Times New Roman" w:hAnsi="Times New Roman" w:cs="Times New Roman"/>
                <w:iCs/>
                <w:sz w:val="20"/>
                <w:szCs w:val="20"/>
                <w:lang w:val="uk-UA"/>
              </w:rPr>
              <w:t xml:space="preserve">Протягом </w:t>
            </w:r>
            <w:r>
              <w:rPr>
                <w:rFonts w:ascii="Times New Roman" w:hAnsi="Times New Roman" w:cs="Times New Roman"/>
                <w:b/>
                <w:iCs/>
                <w:sz w:val="20"/>
                <w:szCs w:val="20"/>
                <w:lang w:val="uk-UA"/>
              </w:rPr>
              <w:t xml:space="preserve">1 (одного) дня </w:t>
            </w:r>
            <w:r>
              <w:rPr>
                <w:rFonts w:ascii="Times New Roman" w:hAnsi="Times New Roman" w:cs="Times New Roman"/>
                <w:iCs/>
                <w:sz w:val="20"/>
                <w:szCs w:val="20"/>
                <w:lang w:val="uk-UA"/>
              </w:rPr>
              <w:t>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5.2.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Інша інформація</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(демпінгувати) своїх цін.</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5.3.</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Відхилення пропозицій</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5.3.1. Замовник відхиляє пропозицію в разі, якщо:</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2) учасник не надав забезпечення пропозиції, якщо таке забезпечення </w:t>
            </w:r>
            <w:r>
              <w:rPr>
                <w:rFonts w:ascii="Times New Roman" w:hAnsi="Times New Roman" w:cs="Times New Roman"/>
                <w:sz w:val="20"/>
                <w:szCs w:val="20"/>
                <w:lang w:val="uk-UA"/>
              </w:rPr>
              <w:lastRenderedPageBreak/>
              <w:t>вимагалося замовником;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учасник, який визначений переможцем спрощеної закупівлі, відмовився від укладення договору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4)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5.3.2. Інформація про відхилення пропозиції протягом 1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sz w:val="20"/>
                <w:szCs w:val="20"/>
                <w:lang w:val="uk-UA"/>
              </w:rPr>
              <w:t>3 (три) робочих дні</w:t>
            </w:r>
            <w:r>
              <w:rPr>
                <w:rFonts w:ascii="Times New Roman" w:hAnsi="Times New Roman" w:cs="Times New Roman"/>
                <w:sz w:val="20"/>
                <w:szCs w:val="20"/>
                <w:lang w:val="uk-UA"/>
              </w:rPr>
              <w:t xml:space="preserve"> з дня надходження такого звернення через електронну систему закупівель замовник зобов’язаний надати йому відповідь.</w:t>
            </w:r>
          </w:p>
        </w:tc>
      </w:tr>
      <w:tr w:rsidR="00731C0F">
        <w:tc>
          <w:tcPr>
            <w:tcW w:w="814" w:type="dxa"/>
          </w:tcPr>
          <w:p w:rsidR="00731C0F" w:rsidRDefault="00731C0F">
            <w:pPr>
              <w:jc w:val="center"/>
              <w:rPr>
                <w:rFonts w:ascii="Times New Roman" w:hAnsi="Times New Roman" w:cs="Times New Roman"/>
                <w:b/>
              </w:rPr>
            </w:pPr>
          </w:p>
        </w:tc>
        <w:tc>
          <w:tcPr>
            <w:tcW w:w="9205" w:type="dxa"/>
            <w:gridSpan w:val="2"/>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rPr>
              <w:t>Розділ 6. Результати спрощеної закупівлі та укладання договору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Відміна спрощеної закупівлі</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6.1.1. Замовник відміняє спрощену закупівлю в разі: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відсутності подальшої потреби в закупівлі товарів, робіт і послуг;</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2) неможливості усунення порушень, що виникли через виявлені порушення законодавства з питань публічних закупівель;</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скорочення видатків на здійснення закупівлі товарів, робіт і послуг.</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6.1.2. Спрощена закупівля автоматично відміняється електронною системою закупівель у разі: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відхилення всіх пропозицій згідно з частиною 13 цієї статті;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2) відсутності пропозицій учасників для участі в ній.</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Спрощена закупівля може бути відмінена частково (за лотом).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6.1.3. Повідомлення про відміну закупівлі оприлюднюється в електронній системі закупівель.</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Строк укладання договору</w:t>
            </w:r>
          </w:p>
        </w:tc>
        <w:tc>
          <w:tcPr>
            <w:tcW w:w="6319" w:type="dxa"/>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sz w:val="20"/>
                <w:szCs w:val="20"/>
                <w:lang w:val="uk-UA"/>
              </w:rPr>
              <w:t xml:space="preserve">20 (двадцять) днів </w:t>
            </w:r>
            <w:r>
              <w:rPr>
                <w:rFonts w:ascii="Times New Roman" w:hAnsi="Times New Roman" w:cs="Times New Roman"/>
                <w:sz w:val="20"/>
                <w:szCs w:val="20"/>
                <w:lang w:val="uk-UA"/>
              </w:rPr>
              <w:t>з дня прийняття рішення про намір укласти договір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6.3.</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Проект договору</w:t>
            </w:r>
          </w:p>
        </w:tc>
        <w:tc>
          <w:tcPr>
            <w:tcW w:w="6319" w:type="dxa"/>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6.3.1. Проект договору подається в окремому файлі та наведений у </w:t>
            </w:r>
            <w:r>
              <w:rPr>
                <w:rFonts w:ascii="Times New Roman" w:hAnsi="Times New Roman" w:cs="Times New Roman"/>
                <w:b/>
                <w:sz w:val="20"/>
                <w:szCs w:val="20"/>
                <w:lang w:val="uk-UA"/>
              </w:rPr>
              <w:t>Додатку №4</w:t>
            </w:r>
            <w:r>
              <w:rPr>
                <w:rFonts w:ascii="Times New Roman" w:hAnsi="Times New Roman" w:cs="Times New Roman"/>
                <w:sz w:val="20"/>
                <w:szCs w:val="20"/>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Основні вимоги до договору про закупівлю та внесення змін до нього</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1) зменшення обсягів закупівлі, зокрема з урахуванням фактичного обсягу </w:t>
            </w:r>
            <w:r>
              <w:rPr>
                <w:rFonts w:ascii="Times New Roman" w:hAnsi="Times New Roman" w:cs="Times New Roman"/>
                <w:sz w:val="20"/>
                <w:szCs w:val="20"/>
                <w:lang w:val="uk-UA"/>
              </w:rPr>
              <w:lastRenderedPageBreak/>
              <w:t>видатків замовника;</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2) 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1C0F" w:rsidRDefault="00E07070">
            <w:pPr>
              <w:pStyle w:val="rvps2"/>
              <w:widowControl w:val="0"/>
              <w:shd w:val="clear" w:color="auto" w:fill="FFFFFF"/>
              <w:spacing w:before="0" w:after="0"/>
              <w:jc w:val="both"/>
            </w:pPr>
            <w:r>
              <w:rPr>
                <w:sz w:val="20"/>
                <w:szCs w:val="20"/>
                <w:lang w:val="uk-UA"/>
              </w:rPr>
              <w:t xml:space="preserve">У разі внесення змін до істотних умов договору про закупівлю у випадках, передбачених </w:t>
            </w:r>
            <w:hyperlink w:anchor="n1768" w:tgtFrame="Current Document">
              <w:r>
                <w:rPr>
                  <w:sz w:val="20"/>
                  <w:szCs w:val="20"/>
                  <w:lang w:val="uk-UA"/>
                </w:rPr>
                <w:t>частиною п’ятою</w:t>
              </w:r>
            </w:hyperlink>
            <w:r>
              <w:rPr>
                <w:sz w:val="20"/>
                <w:szCs w:val="20"/>
                <w:lang w:val="uk-UA"/>
              </w:rPr>
              <w:t xml:space="preserve"> цієї статті, замовник обов’язково оприлюднює повідомлення про внесення змін до договору про закупівлю.</w:t>
            </w:r>
          </w:p>
        </w:tc>
      </w:tr>
      <w:tr w:rsidR="00731C0F">
        <w:tc>
          <w:tcPr>
            <w:tcW w:w="814" w:type="dxa"/>
          </w:tcPr>
          <w:p w:rsidR="00731C0F" w:rsidRDefault="00E07070">
            <w:pPr>
              <w:rPr>
                <w:rFonts w:ascii="Times New Roman" w:hAnsi="Times New Roman" w:cs="Times New Roman"/>
                <w:b/>
                <w:lang w:val="uk-UA"/>
              </w:rPr>
            </w:pPr>
            <w:r>
              <w:rPr>
                <w:sz w:val="20"/>
              </w:rPr>
              <w:lastRenderedPageBreak/>
              <w:t>6.5.</w:t>
            </w:r>
          </w:p>
        </w:tc>
        <w:tc>
          <w:tcPr>
            <w:tcW w:w="2886" w:type="dxa"/>
          </w:tcPr>
          <w:p w:rsidR="00731C0F" w:rsidRDefault="00E07070">
            <w:pPr>
              <w:rPr>
                <w:rFonts w:ascii="Times New Roman" w:hAnsi="Times New Roman"/>
                <w:sz w:val="20"/>
                <w:szCs w:val="20"/>
              </w:rPr>
            </w:pPr>
            <w:r>
              <w:rPr>
                <w:rFonts w:ascii="Times New Roman" w:hAnsi="Times New Roman"/>
                <w:sz w:val="20"/>
                <w:szCs w:val="20"/>
              </w:rPr>
              <w:t>Додатки до оголошення</w:t>
            </w:r>
          </w:p>
        </w:tc>
        <w:tc>
          <w:tcPr>
            <w:tcW w:w="6319" w:type="dxa"/>
          </w:tcPr>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1)</w:t>
            </w:r>
            <w:r>
              <w:rPr>
                <w:rFonts w:ascii="Times New Roman" w:hAnsi="Times New Roman" w:cs="Times New Roman"/>
                <w:sz w:val="20"/>
                <w:szCs w:val="20"/>
                <w:lang w:val="uk-UA"/>
              </w:rPr>
              <w:tab/>
              <w:t>Пропозиція;</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2)</w:t>
            </w:r>
            <w:r>
              <w:rPr>
                <w:rFonts w:ascii="Times New Roman" w:hAnsi="Times New Roman" w:cs="Times New Roman"/>
                <w:sz w:val="20"/>
                <w:szCs w:val="20"/>
                <w:lang w:val="uk-UA"/>
              </w:rPr>
              <w:tab/>
              <w:t>Кваліфікаційні критерії;</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3)</w:t>
            </w:r>
            <w:r>
              <w:rPr>
                <w:rFonts w:ascii="Times New Roman" w:hAnsi="Times New Roman" w:cs="Times New Roman"/>
                <w:sz w:val="20"/>
                <w:szCs w:val="20"/>
                <w:lang w:val="uk-UA"/>
              </w:rPr>
              <w:tab/>
              <w:t>Технічні вимоги;</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4)</w:t>
            </w:r>
            <w:r>
              <w:rPr>
                <w:rFonts w:ascii="Times New Roman" w:hAnsi="Times New Roman" w:cs="Times New Roman"/>
                <w:sz w:val="20"/>
                <w:szCs w:val="20"/>
                <w:lang w:val="uk-UA"/>
              </w:rPr>
              <w:tab/>
              <w:t>Проект договору.</w:t>
            </w:r>
          </w:p>
        </w:tc>
      </w:tr>
    </w:tbl>
    <w:p w:rsidR="00731C0F" w:rsidRDefault="00731C0F">
      <w:pPr>
        <w:ind w:right="22"/>
        <w:jc w:val="center"/>
        <w:rPr>
          <w:rFonts w:ascii="Times New Roman" w:hAnsi="Times New Roman" w:cs="Times New Roman"/>
        </w:rPr>
      </w:pPr>
    </w:p>
    <w:sectPr w:rsidR="00731C0F">
      <w:headerReference w:type="default" r:id="rId6"/>
      <w:pgSz w:w="11906" w:h="16838"/>
      <w:pgMar w:top="765" w:right="850" w:bottom="850" w:left="1417"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1D32" w:rsidRDefault="005D1D32">
      <w:r>
        <w:separator/>
      </w:r>
    </w:p>
  </w:endnote>
  <w:endnote w:type="continuationSeparator" w:id="0">
    <w:p w:rsidR="005D1D32" w:rsidRDefault="005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1D32" w:rsidRDefault="005D1D32">
      <w:r>
        <w:separator/>
      </w:r>
    </w:p>
  </w:footnote>
  <w:footnote w:type="continuationSeparator" w:id="0">
    <w:p w:rsidR="005D1D32" w:rsidRDefault="005D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C0F" w:rsidRDefault="00E07070">
    <w:pPr>
      <w:pStyle w:val="a3"/>
      <w:jc w:val="center"/>
    </w:pPr>
    <w:r>
      <w:fldChar w:fldCharType="begin"/>
    </w:r>
    <w:r>
      <w:instrText>PAGE</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0F"/>
    <w:rsid w:val="005D1D32"/>
    <w:rsid w:val="0062329C"/>
    <w:rsid w:val="00731C0F"/>
    <w:rsid w:val="00E07070"/>
    <w:rsid w:val="00ED15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8433"/>
  <w15:docId w15:val="{F114E828-E147-4A81-A8B3-65E1792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0">
    <w:name w:val="Верхній колонтитул Знак1"/>
    <w:basedOn w:val="a0"/>
    <w:link w:val="a3"/>
    <w:uiPriority w:val="9"/>
    <w:qFormat/>
    <w:rPr>
      <w:rFonts w:ascii="Arial" w:eastAsia="Arial" w:hAnsi="Arial" w:cs="Arial"/>
      <w:sz w:val="40"/>
      <w:szCs w:val="40"/>
    </w:rPr>
  </w:style>
  <w:style w:type="character" w:customStyle="1" w:styleId="31">
    <w:name w:val="Назва Знак3"/>
    <w:basedOn w:val="a0"/>
    <w:link w:val="a4"/>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20">
    <w:name w:val="Назва Знак2"/>
    <w:basedOn w:val="a0"/>
    <w:uiPriority w:val="10"/>
    <w:qFormat/>
    <w:rPr>
      <w:sz w:val="48"/>
      <w:szCs w:val="48"/>
    </w:rPr>
  </w:style>
  <w:style w:type="character" w:customStyle="1" w:styleId="a5">
    <w:name w:val="Підзаголовок Знак"/>
    <w:basedOn w:val="a0"/>
    <w:uiPriority w:val="11"/>
    <w:qFormat/>
    <w:rPr>
      <w:sz w:val="24"/>
      <w:szCs w:val="24"/>
    </w:rPr>
  </w:style>
  <w:style w:type="character" w:customStyle="1" w:styleId="a6">
    <w:name w:val="Цитата Знак"/>
    <w:uiPriority w:val="29"/>
    <w:qFormat/>
    <w:rPr>
      <w:i/>
    </w:rPr>
  </w:style>
  <w:style w:type="character" w:customStyle="1" w:styleId="a7">
    <w:name w:val="Насичена цитата Знак"/>
    <w:uiPriority w:val="30"/>
    <w:qFormat/>
    <w:rPr>
      <w:i/>
    </w:rPr>
  </w:style>
  <w:style w:type="character" w:customStyle="1" w:styleId="21">
    <w:name w:val="Нижній колонтитул Знак2"/>
    <w:basedOn w:val="a0"/>
    <w:link w:val="a8"/>
    <w:uiPriority w:val="99"/>
    <w:qFormat/>
  </w:style>
  <w:style w:type="character" w:customStyle="1" w:styleId="FooterChar">
    <w:name w:val="Footer Char"/>
    <w:basedOn w:val="a0"/>
    <w:uiPriority w:val="99"/>
    <w:qFormat/>
  </w:style>
  <w:style w:type="character" w:customStyle="1" w:styleId="11">
    <w:name w:val="Нижній колонтитул Знак1"/>
    <w:uiPriority w:val="99"/>
    <w:qFormat/>
  </w:style>
  <w:style w:type="character" w:customStyle="1" w:styleId="a9">
    <w:name w:val="Текст виноски Знак"/>
    <w:uiPriority w:val="99"/>
    <w:qFormat/>
    <w:rPr>
      <w:sz w:val="18"/>
    </w:rPr>
  </w:style>
  <w:style w:type="character" w:customStyle="1" w:styleId="aa">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WW8Num1z0">
    <w:name w:val="WW8Num1z0"/>
    <w:qFormat/>
    <w:rPr>
      <w:rFonts w:ascii="Times New Roman" w:hAnsi="Times New Roman" w:cs="Times New Roman"/>
      <w:u w:val="non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2">
    <w:name w:val="Шрифт абзацу за промовчанням1"/>
    <w:qFormat/>
  </w:style>
  <w:style w:type="character" w:customStyle="1" w:styleId="-">
    <w:name w:val="Интернет-ссылка"/>
    <w:uiPriority w:val="99"/>
    <w:rPr>
      <w:color w:val="0000FF"/>
      <w:u w:val="single"/>
    </w:rPr>
  </w:style>
  <w:style w:type="character" w:customStyle="1" w:styleId="ab">
    <w:name w:val="Без інтервалів Знак"/>
    <w:qFormat/>
    <w:rPr>
      <w:rFonts w:eastAsia="Times New Roman"/>
      <w:sz w:val="22"/>
      <w:szCs w:val="22"/>
      <w:lang w:bidi="ar-SA"/>
    </w:rPr>
  </w:style>
  <w:style w:type="character" w:customStyle="1" w:styleId="ac">
    <w:name w:val="Верхній колонтитул Знак"/>
    <w:basedOn w:val="12"/>
    <w:qFormat/>
    <w:rPr>
      <w:rFonts w:ascii="Times New Roman CYR" w:eastAsia="Times New Roman" w:hAnsi="Times New Roman CYR" w:cs="Times New Roman CYR"/>
      <w:sz w:val="24"/>
      <w:szCs w:val="24"/>
      <w:lang w:val="ru-RU"/>
    </w:rPr>
  </w:style>
  <w:style w:type="character" w:customStyle="1" w:styleId="ad">
    <w:name w:val="Нижній колонтитул Знак"/>
    <w:basedOn w:val="12"/>
    <w:qFormat/>
    <w:rPr>
      <w:rFonts w:ascii="Times New Roman CYR" w:eastAsia="Times New Roman" w:hAnsi="Times New Roman CYR" w:cs="Times New Roman CYR"/>
      <w:sz w:val="24"/>
      <w:szCs w:val="24"/>
      <w:lang w:val="ru-RU"/>
    </w:rPr>
  </w:style>
  <w:style w:type="character" w:customStyle="1" w:styleId="ae">
    <w:name w:val="Основний текст з відступом Знак"/>
    <w:basedOn w:val="12"/>
    <w:qFormat/>
    <w:rPr>
      <w:rFonts w:ascii="Times New Roman" w:hAnsi="Times New Roman" w:cs="Times New Roman"/>
      <w:sz w:val="24"/>
      <w:szCs w:val="24"/>
    </w:rPr>
  </w:style>
  <w:style w:type="character" w:customStyle="1" w:styleId="NoSpacingChar">
    <w:name w:val="No Spacing Char"/>
    <w:qFormat/>
    <w:rPr>
      <w:sz w:val="22"/>
      <w:lang w:val="uk-UA" w:bidi="ar-SA"/>
    </w:rPr>
  </w:style>
  <w:style w:type="character" w:customStyle="1" w:styleId="Bodytext">
    <w:name w:val="Body text_"/>
    <w:qFormat/>
    <w:rPr>
      <w:sz w:val="24"/>
      <w:szCs w:val="24"/>
      <w:shd w:val="clear" w:color="auto" w:fill="FFFFFF"/>
    </w:rPr>
  </w:style>
  <w:style w:type="character" w:customStyle="1" w:styleId="Bodytext7">
    <w:name w:val="Body text7"/>
    <w:qFormat/>
    <w:rPr>
      <w:rFonts w:ascii="Times New Roman" w:hAnsi="Times New Roman" w:cs="Times New Roman"/>
      <w:spacing w:val="0"/>
      <w:sz w:val="24"/>
      <w:szCs w:val="24"/>
      <w:u w:val="single"/>
      <w:lang w:bidi="ar-SA"/>
    </w:rPr>
  </w:style>
  <w:style w:type="character" w:customStyle="1" w:styleId="apple-converted-space">
    <w:name w:val="apple-converted-space"/>
    <w:qFormat/>
  </w:style>
  <w:style w:type="character" w:customStyle="1" w:styleId="32">
    <w:name w:val="Основний текст з відступом 3 Знак"/>
    <w:basedOn w:val="12"/>
    <w:qFormat/>
    <w:rPr>
      <w:rFonts w:ascii="Times New Roman CYR" w:eastAsia="Times New Roman" w:hAnsi="Times New Roman CYR" w:cs="Times New Roman CYR"/>
      <w:sz w:val="16"/>
      <w:szCs w:val="16"/>
      <w:lang w:val="ru-RU"/>
    </w:rPr>
  </w:style>
  <w:style w:type="character" w:customStyle="1" w:styleId="af">
    <w:name w:val="Назва Знак"/>
    <w:qFormat/>
    <w:rPr>
      <w:b/>
      <w:sz w:val="24"/>
      <w:szCs w:val="24"/>
      <w:lang w:val="ru-RU"/>
    </w:rPr>
  </w:style>
  <w:style w:type="character" w:customStyle="1" w:styleId="13">
    <w:name w:val="Назва Знак1"/>
    <w:basedOn w:val="12"/>
    <w:qFormat/>
    <w:rPr>
      <w:rFonts w:ascii="Cambria" w:eastAsia="Times New Roman" w:hAnsi="Cambria" w:cs="Times New Roman"/>
      <w:b/>
      <w:bCs/>
      <w:sz w:val="32"/>
      <w:szCs w:val="32"/>
      <w:lang w:val="ru-RU"/>
    </w:rPr>
  </w:style>
  <w:style w:type="character" w:customStyle="1" w:styleId="af0">
    <w:name w:val="Текст у виносці Знак"/>
    <w:basedOn w:val="a0"/>
    <w:uiPriority w:val="99"/>
    <w:semiHidden/>
    <w:qFormat/>
    <w:rPr>
      <w:rFonts w:ascii="Segoe UI" w:hAnsi="Segoe UI" w:cs="Segoe UI"/>
      <w:sz w:val="18"/>
      <w:szCs w:val="18"/>
      <w:lang w:val="ru-RU" w:eastAsia="zh-CN"/>
    </w:rPr>
  </w:style>
  <w:style w:type="character" w:styleId="af1">
    <w:name w:val="Unresolved Mention"/>
    <w:basedOn w:val="a0"/>
    <w:uiPriority w:val="99"/>
    <w:semiHidden/>
    <w:unhideWhenUsed/>
    <w:qFormat/>
    <w:rPr>
      <w:color w:val="605E5C"/>
      <w:shd w:val="clear" w:color="auto" w:fill="E1DFDD"/>
    </w:rPr>
  </w:style>
  <w:style w:type="paragraph" w:customStyle="1" w:styleId="af2">
    <w:name w:val="Заголовок"/>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pacing w:before="120" w:after="120"/>
    </w:pPr>
    <w:rPr>
      <w:rFonts w:cs="Mangal"/>
      <w:i/>
      <w:iCs/>
    </w:rPr>
  </w:style>
  <w:style w:type="paragraph" w:customStyle="1" w:styleId="af6">
    <w:name w:val="Указатель"/>
    <w:basedOn w:val="a"/>
    <w:qFormat/>
    <w:pPr>
      <w:suppressLineNumbers/>
    </w:pPr>
    <w:rPr>
      <w:rFonts w:cs="Arial"/>
    </w:rPr>
  </w:style>
  <w:style w:type="paragraph" w:styleId="a4">
    <w:name w:val="Title"/>
    <w:basedOn w:val="a"/>
    <w:next w:val="a"/>
    <w:link w:val="31"/>
    <w:uiPriority w:val="10"/>
    <w:qFormat/>
    <w:pPr>
      <w:spacing w:before="300" w:after="200"/>
      <w:contextualSpacing/>
    </w:pPr>
    <w:rPr>
      <w:sz w:val="48"/>
      <w:szCs w:val="48"/>
    </w:rPr>
  </w:style>
  <w:style w:type="paragraph" w:styleId="af7">
    <w:name w:val="Subtitle"/>
    <w:basedOn w:val="a"/>
    <w:next w:val="a"/>
    <w:uiPriority w:val="11"/>
    <w:qFormat/>
    <w:pPr>
      <w:spacing w:before="200" w:after="200"/>
    </w:pPr>
  </w:style>
  <w:style w:type="paragraph" w:styleId="af8">
    <w:name w:val="Quote"/>
    <w:basedOn w:val="a"/>
    <w:next w:val="a"/>
    <w:uiPriority w:val="29"/>
    <w:qFormat/>
    <w:pPr>
      <w:ind w:left="720" w:right="720"/>
    </w:pPr>
    <w:rPr>
      <w:i/>
    </w:rPr>
  </w:style>
  <w:style w:type="paragraph" w:styleId="af9">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a">
    <w:name w:val="footnote text"/>
    <w:basedOn w:val="a"/>
    <w:uiPriority w:val="99"/>
    <w:semiHidden/>
    <w:unhideWhenUsed/>
    <w:pPr>
      <w:spacing w:after="40"/>
    </w:pPr>
    <w:rPr>
      <w:sz w:val="18"/>
    </w:rPr>
  </w:style>
  <w:style w:type="paragraph" w:styleId="14">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b">
    <w:name w:val="TOC Heading"/>
    <w:uiPriority w:val="39"/>
    <w:unhideWhenUsed/>
    <w:qFormat/>
  </w:style>
  <w:style w:type="paragraph" w:customStyle="1" w:styleId="15">
    <w:name w:val="Заголовок1"/>
    <w:basedOn w:val="a"/>
    <w:next w:val="af3"/>
    <w:qFormat/>
    <w:pPr>
      <w:widowControl/>
      <w:jc w:val="center"/>
    </w:pPr>
    <w:rPr>
      <w:rFonts w:ascii="Calibri" w:eastAsia="Calibri" w:hAnsi="Calibri" w:cs="Times New Roman"/>
      <w:b/>
    </w:rPr>
  </w:style>
  <w:style w:type="paragraph" w:customStyle="1" w:styleId="afc">
    <w:name w:val="Покажчик"/>
    <w:basedOn w:val="a"/>
    <w:qFormat/>
    <w:rPr>
      <w:rFonts w:cs="Mangal"/>
    </w:rPr>
  </w:style>
  <w:style w:type="paragraph" w:styleId="afd">
    <w:name w:val="No Spacing"/>
    <w:qFormat/>
    <w:rPr>
      <w:rFonts w:ascii="Calibri" w:hAnsi="Calibri"/>
      <w:sz w:val="22"/>
      <w:lang w:eastAsia="zh-CN"/>
    </w:rPr>
  </w:style>
  <w:style w:type="paragraph" w:customStyle="1" w:styleId="afe">
    <w:name w:val="Знак Знак Знак Знак Знак"/>
    <w:basedOn w:val="a"/>
    <w:qFormat/>
    <w:pPr>
      <w:widowControl/>
    </w:pPr>
    <w:rPr>
      <w:rFonts w:ascii="Verdana" w:hAnsi="Verdana" w:cs="Verdana"/>
      <w:sz w:val="20"/>
      <w:szCs w:val="20"/>
      <w:lang w:val="en-US"/>
    </w:rPr>
  </w:style>
  <w:style w:type="paragraph" w:customStyle="1" w:styleId="aff">
    <w:name w:val="Верхний и нижний колонтитулы"/>
    <w:basedOn w:val="a"/>
    <w:qFormat/>
  </w:style>
  <w:style w:type="paragraph" w:styleId="a3">
    <w:name w:val="header"/>
    <w:basedOn w:val="a"/>
    <w:link w:val="10"/>
    <w:pPr>
      <w:tabs>
        <w:tab w:val="center" w:pos="4819"/>
        <w:tab w:val="right" w:pos="9639"/>
      </w:tabs>
    </w:pPr>
  </w:style>
  <w:style w:type="paragraph" w:styleId="a8">
    <w:name w:val="footer"/>
    <w:basedOn w:val="a"/>
    <w:link w:val="21"/>
    <w:pPr>
      <w:tabs>
        <w:tab w:val="center" w:pos="4819"/>
        <w:tab w:val="right" w:pos="9639"/>
      </w:tabs>
    </w:pPr>
  </w:style>
  <w:style w:type="paragraph" w:styleId="aff0">
    <w:name w:val="Body Text Indent"/>
    <w:basedOn w:val="a"/>
    <w:pPr>
      <w:widowControl/>
      <w:spacing w:after="120"/>
      <w:ind w:left="283"/>
    </w:pPr>
    <w:rPr>
      <w:rFonts w:ascii="Times New Roman" w:eastAsia="Calibri" w:hAnsi="Times New Roman" w:cs="Times New Roman"/>
    </w:rPr>
  </w:style>
  <w:style w:type="paragraph" w:customStyle="1" w:styleId="16">
    <w:name w:val="Без интервала1"/>
    <w:qFormat/>
    <w:rPr>
      <w:rFonts w:ascii="Calibri" w:eastAsia="Calibri" w:hAnsi="Calibri"/>
      <w:sz w:val="22"/>
      <w:lang w:eastAsia="zh-CN"/>
    </w:rPr>
  </w:style>
  <w:style w:type="paragraph" w:customStyle="1" w:styleId="Bodytext1">
    <w:name w:val="Body text1"/>
    <w:basedOn w:val="a"/>
    <w:qFormat/>
    <w:pPr>
      <w:widowControl/>
      <w:shd w:val="clear" w:color="auto" w:fill="FFFFFF"/>
      <w:spacing w:after="240" w:line="240" w:lineRule="atLeast"/>
      <w:ind w:hanging="460"/>
    </w:pPr>
    <w:rPr>
      <w:rFonts w:ascii="Calibri" w:eastAsia="Calibri" w:hAnsi="Calibri" w:cs="Times New Roman"/>
    </w:rPr>
  </w:style>
  <w:style w:type="paragraph" w:customStyle="1" w:styleId="aff1">
    <w:name w:val="Знак Знак Знак"/>
    <w:basedOn w:val="a"/>
    <w:qFormat/>
    <w:pPr>
      <w:widowControl/>
    </w:pPr>
    <w:rPr>
      <w:rFonts w:ascii="Verdana" w:hAnsi="Verdana" w:cs="Times New Roman"/>
      <w:sz w:val="20"/>
      <w:szCs w:val="20"/>
      <w:lang w:val="en-US"/>
    </w:rPr>
  </w:style>
  <w:style w:type="paragraph" w:customStyle="1" w:styleId="rvps2">
    <w:name w:val="rvps2"/>
    <w:basedOn w:val="a"/>
    <w:qFormat/>
    <w:pPr>
      <w:widowControl/>
      <w:spacing w:before="280" w:after="280"/>
    </w:pPr>
    <w:rPr>
      <w:rFonts w:ascii="Times New Roman" w:hAnsi="Times New Roman" w:cs="Times New Roman"/>
    </w:rPr>
  </w:style>
  <w:style w:type="paragraph" w:customStyle="1" w:styleId="310">
    <w:name w:val="Основний текст з відступом 31"/>
    <w:basedOn w:val="a"/>
    <w:qFormat/>
    <w:pPr>
      <w:spacing w:after="120"/>
      <w:ind w:left="283"/>
    </w:pPr>
    <w:rPr>
      <w:sz w:val="16"/>
      <w:szCs w:val="16"/>
    </w:rPr>
  </w:style>
  <w:style w:type="paragraph" w:customStyle="1" w:styleId="aff2">
    <w:name w:val="Вміст таблиці"/>
    <w:basedOn w:val="a"/>
    <w:qFormat/>
  </w:style>
  <w:style w:type="paragraph" w:customStyle="1" w:styleId="aff3">
    <w:name w:val="Заголовок таблиці"/>
    <w:basedOn w:val="aff2"/>
    <w:qFormat/>
    <w:pPr>
      <w:jc w:val="center"/>
    </w:pPr>
    <w:rPr>
      <w:b/>
      <w:bCs/>
    </w:rPr>
  </w:style>
  <w:style w:type="paragraph" w:styleId="aff4">
    <w:name w:val="List Paragraph"/>
    <w:basedOn w:val="a"/>
    <w:uiPriority w:val="34"/>
    <w:qFormat/>
    <w:pPr>
      <w:ind w:left="720"/>
      <w:contextualSpacing/>
    </w:pPr>
  </w:style>
  <w:style w:type="paragraph" w:styleId="aff5">
    <w:name w:val="Balloon Text"/>
    <w:basedOn w:val="a"/>
    <w:uiPriority w:val="99"/>
    <w:semiHidden/>
    <w:unhideWhenUsed/>
    <w:qFormat/>
    <w:rPr>
      <w:rFonts w:ascii="Segoe UI" w:hAnsi="Segoe UI" w:cs="Segoe UI"/>
      <w:sz w:val="18"/>
      <w:szCs w:val="18"/>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qFormat/>
    <w:pPr>
      <w:spacing w:beforeAutospacing="1" w:afterAutospacing="1"/>
    </w:pPr>
    <w:rPr>
      <w:sz w:val="24"/>
      <w:szCs w:val="24"/>
      <w:lang w:eastAsia="en-US" w:bidi="uk-UA"/>
    </w:rPr>
  </w:style>
  <w:style w:type="paragraph" w:customStyle="1" w:styleId="tbl-txt">
    <w:name w:val="tbl-txt"/>
    <w:qFormat/>
    <w:pPr>
      <w:spacing w:beforeAutospacing="1" w:afterAutospacing="1"/>
    </w:pPr>
    <w:rPr>
      <w:sz w:val="24"/>
      <w:szCs w:val="24"/>
      <w:lang w:eastAsia="en-US" w:bidi="uk-UA"/>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7">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42">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52">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15648</Words>
  <Characters>8920</Characters>
  <Application>Microsoft Office Word</Application>
  <DocSecurity>0</DocSecurity>
  <Lines>74</Lines>
  <Paragraphs>49</Paragraphs>
  <ScaleCrop>false</ScaleCrop>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dc:description/>
  <cp:lastModifiedBy>Иван Ярошинский</cp:lastModifiedBy>
  <cp:revision>3</cp:revision>
  <dcterms:created xsi:type="dcterms:W3CDTF">2022-09-18T14:08:00Z</dcterms:created>
  <dcterms:modified xsi:type="dcterms:W3CDTF">2022-09-18T14:30:00Z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