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0E64A6" w:rsidP="002651B4">
            <w:pPr>
              <w:spacing w:after="0" w:line="240" w:lineRule="auto"/>
              <w:rPr>
                <w:rFonts w:ascii="Times New Roman" w:hAnsi="Times New Roman"/>
                <w:sz w:val="24"/>
                <w:szCs w:val="24"/>
              </w:rPr>
            </w:pPr>
            <w:r>
              <w:rPr>
                <w:rFonts w:ascii="Times New Roman" w:hAnsi="Times New Roman"/>
                <w:sz w:val="24"/>
                <w:szCs w:val="24"/>
              </w:rPr>
              <w:t>15</w:t>
            </w:r>
            <w:r w:rsidR="002B34BA">
              <w:rPr>
                <w:rFonts w:ascii="Times New Roman" w:hAnsi="Times New Roman"/>
                <w:sz w:val="24"/>
                <w:szCs w:val="24"/>
              </w:rPr>
              <w:t>.12.2022р.  №</w:t>
            </w:r>
            <w:r>
              <w:rPr>
                <w:rFonts w:ascii="Times New Roman" w:hAnsi="Times New Roman"/>
                <w:sz w:val="24"/>
                <w:szCs w:val="24"/>
              </w:rPr>
              <w:t>477</w:t>
            </w:r>
          </w:p>
          <w:p w:rsidR="007B287E" w:rsidRPr="007B287E" w:rsidRDefault="007B287E" w:rsidP="007B287E">
            <w:pPr>
              <w:spacing w:after="0" w:line="240" w:lineRule="auto"/>
              <w:rPr>
                <w:rFonts w:ascii="Times New Roman" w:hAnsi="Times New Roman"/>
                <w:sz w:val="24"/>
                <w:szCs w:val="24"/>
              </w:rPr>
            </w:pPr>
            <w:r w:rsidRPr="007B287E">
              <w:rPr>
                <w:rFonts w:ascii="Times New Roman" w:hAnsi="Times New Roman"/>
                <w:sz w:val="24"/>
                <w:szCs w:val="24"/>
              </w:rPr>
              <w:t>зі змінами, затвердженими</w:t>
            </w:r>
          </w:p>
          <w:p w:rsidR="007B287E" w:rsidRPr="00DA5F78" w:rsidRDefault="007B287E" w:rsidP="007B287E">
            <w:pPr>
              <w:spacing w:after="0" w:line="240" w:lineRule="auto"/>
              <w:rPr>
                <w:rFonts w:ascii="Times New Roman" w:hAnsi="Times New Roman"/>
                <w:sz w:val="24"/>
                <w:szCs w:val="24"/>
              </w:rPr>
            </w:pPr>
            <w:r>
              <w:rPr>
                <w:rFonts w:ascii="Times New Roman" w:hAnsi="Times New Roman"/>
                <w:sz w:val="24"/>
                <w:szCs w:val="24"/>
              </w:rPr>
              <w:t xml:space="preserve">Протоколом № 486 </w:t>
            </w:r>
            <w:r w:rsidRPr="007B287E">
              <w:rPr>
                <w:rFonts w:ascii="Times New Roman" w:hAnsi="Times New Roman"/>
                <w:sz w:val="24"/>
                <w:szCs w:val="24"/>
              </w:rPr>
              <w:t>від «2</w:t>
            </w:r>
            <w:r>
              <w:rPr>
                <w:rFonts w:ascii="Times New Roman" w:hAnsi="Times New Roman"/>
                <w:sz w:val="24"/>
                <w:szCs w:val="24"/>
              </w:rPr>
              <w:t>2</w:t>
            </w:r>
            <w:r w:rsidRPr="007B287E">
              <w:rPr>
                <w:rFonts w:ascii="Times New Roman" w:hAnsi="Times New Roman"/>
                <w:sz w:val="24"/>
                <w:szCs w:val="24"/>
              </w:rPr>
              <w:t>» грудня 2022р</w:t>
            </w:r>
          </w:p>
          <w:p w:rsidR="005F26FC" w:rsidRPr="007B6D7E" w:rsidRDefault="005F26FC" w:rsidP="002B34BA">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F117C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136A2"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F117C4">
          <w:rPr>
            <w:noProof/>
            <w:webHidden/>
          </w:rPr>
          <w:t>3</w:t>
        </w:r>
        <w:r w:rsidR="006A22DD" w:rsidRPr="005C7A34">
          <w:rPr>
            <w:noProof/>
            <w:webHidden/>
          </w:rPr>
          <w:fldChar w:fldCharType="end"/>
        </w:r>
      </w:hyperlink>
    </w:p>
    <w:p w:rsidR="006A22DD" w:rsidRPr="005C7A34" w:rsidRDefault="005136A2"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F117C4">
          <w:rPr>
            <w:noProof/>
            <w:webHidden/>
          </w:rPr>
          <w:t>3</w:t>
        </w:r>
        <w:r w:rsidR="006A22DD" w:rsidRPr="005C7A34">
          <w:rPr>
            <w:noProof/>
            <w:webHidden/>
          </w:rPr>
          <w:fldChar w:fldCharType="end"/>
        </w:r>
      </w:hyperlink>
    </w:p>
    <w:p w:rsidR="006A22DD" w:rsidRPr="005C7A34" w:rsidRDefault="005136A2"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F117C4">
          <w:rPr>
            <w:noProof/>
            <w:webHidden/>
          </w:rPr>
          <w:t>3</w:t>
        </w:r>
        <w:r w:rsidR="006A22DD" w:rsidRPr="005C7A34">
          <w:rPr>
            <w:noProof/>
            <w:webHidden/>
          </w:rPr>
          <w:fldChar w:fldCharType="end"/>
        </w:r>
      </w:hyperlink>
    </w:p>
    <w:p w:rsidR="006A22DD" w:rsidRPr="005C7A34" w:rsidRDefault="005136A2"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136A2"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F117C4">
          <w:rPr>
            <w:noProof/>
            <w:webHidden/>
          </w:rPr>
          <w:t>3</w:t>
        </w:r>
        <w:r w:rsidR="006A22DD" w:rsidRPr="005C7A34">
          <w:rPr>
            <w:noProof/>
            <w:webHidden/>
          </w:rPr>
          <w:fldChar w:fldCharType="end"/>
        </w:r>
      </w:hyperlink>
    </w:p>
    <w:p w:rsidR="006A22DD" w:rsidRPr="005C7A34" w:rsidRDefault="005136A2"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136A2"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F117C4">
          <w:rPr>
            <w:noProof/>
            <w:webHidden/>
          </w:rPr>
          <w:t>4</w:t>
        </w:r>
        <w:r w:rsidR="006A22DD" w:rsidRPr="005C7A34">
          <w:rPr>
            <w:noProof/>
            <w:webHidden/>
          </w:rPr>
          <w:fldChar w:fldCharType="end"/>
        </w:r>
      </w:hyperlink>
    </w:p>
    <w:p w:rsidR="006A22DD" w:rsidRPr="005C7A34" w:rsidRDefault="005136A2"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F117C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136A2"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F117C4">
          <w:rPr>
            <w:noProof/>
            <w:webHidden/>
          </w:rPr>
          <w:t>4</w:t>
        </w:r>
        <w:r w:rsidR="006A22DD" w:rsidRPr="005C7A34">
          <w:rPr>
            <w:noProof/>
            <w:webHidden/>
          </w:rPr>
          <w:fldChar w:fldCharType="end"/>
        </w:r>
      </w:hyperlink>
    </w:p>
    <w:p w:rsidR="005C7A34" w:rsidRPr="00E85312" w:rsidRDefault="005136A2"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136A2"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136A2"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136A2"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136A2"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136A2"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5136A2"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5136A2"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5136A2" w:rsidP="00212092">
      <w:pPr>
        <w:pStyle w:val="11"/>
        <w:tabs>
          <w:tab w:val="right" w:leader="dot" w:pos="9345"/>
        </w:tabs>
        <w:spacing w:after="0"/>
        <w:rPr>
          <w:rFonts w:ascii="Times New Roman" w:eastAsia="Times New Roman" w:hAnsi="Times New Roman"/>
          <w:noProof/>
          <w:lang w:val="uk-UA" w:eastAsia="uk-UA"/>
        </w:rPr>
      </w:pPr>
      <w:r>
        <w:rPr>
          <w:rStyle w:val="a5"/>
          <w:rFonts w:ascii="Times New Roman" w:hAnsi="Times New Roman"/>
          <w:b/>
          <w:noProof/>
          <w:lang w:val="uk-UA"/>
        </w:rPr>
        <w:fldChar w:fldCharType="begin"/>
      </w:r>
      <w:r>
        <w:rPr>
          <w:rStyle w:val="a5"/>
          <w:rFonts w:ascii="Times New Roman" w:hAnsi="Times New Roman"/>
          <w:b/>
          <w:noProof/>
          <w:lang w:val="uk-UA"/>
        </w:rPr>
        <w:instrText xml:space="preserve"> HYPERLINK \l "_Toc413060380" </w:instrText>
      </w:r>
      <w:r>
        <w:rPr>
          <w:rStyle w:val="a5"/>
          <w:rFonts w:ascii="Times New Roman" w:hAnsi="Times New Roman"/>
          <w:b/>
          <w:noProof/>
          <w:lang w:val="uk-UA"/>
        </w:rPr>
        <w:fldChar w:fldCharType="separate"/>
      </w:r>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r>
        <w:rPr>
          <w:rFonts w:ascii="Times New Roman" w:hAnsi="Times New Roman"/>
          <w:noProof/>
          <w:lang w:val="uk-UA"/>
        </w:rPr>
        <w:fldChar w:fldCharType="end"/>
      </w:r>
      <w:r w:rsidR="00253E19">
        <w:rPr>
          <w:rFonts w:ascii="Times New Roman" w:hAnsi="Times New Roman"/>
          <w:noProof/>
          <w:lang w:val="uk-UA"/>
        </w:rPr>
        <w:t>3</w:t>
      </w:r>
    </w:p>
    <w:p w:rsidR="006A22DD" w:rsidRPr="00932165" w:rsidRDefault="005136A2" w:rsidP="00212092">
      <w:pPr>
        <w:pStyle w:val="21"/>
        <w:rPr>
          <w:rFonts w:eastAsia="Times New Roman"/>
          <w:noProof/>
          <w:lang w:val="uk-UA" w:eastAsia="uk-UA"/>
        </w:rPr>
      </w:pPr>
      <w:r>
        <w:rPr>
          <w:rStyle w:val="a5"/>
          <w:rFonts w:ascii="Times New Roman" w:hAnsi="Times New Roman"/>
          <w:noProof/>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"_Toc413060381" </w:instrText>
      </w:r>
      <w:r>
        <w:rPr>
          <w:rStyle w:val="a5"/>
          <w:rFonts w:ascii="Times New Roman" w:hAnsi="Times New Roman"/>
          <w:noProof/>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r>
        <w:rPr>
          <w:noProof/>
        </w:rPr>
        <w:fldChar w:fldCharType="end"/>
      </w:r>
      <w:r w:rsidR="00253E19">
        <w:rPr>
          <w:noProof/>
          <w:lang w:val="uk-UA"/>
        </w:rPr>
        <w:t>3</w:t>
      </w:r>
    </w:p>
    <w:p w:rsidR="005C7A34" w:rsidRPr="00A52D34" w:rsidRDefault="005136A2" w:rsidP="00212092">
      <w:pPr>
        <w:pStyle w:val="21"/>
        <w:rPr>
          <w:rFonts w:eastAsia="Times New Roman"/>
          <w:noProof/>
          <w:lang w:val="uk-UA" w:eastAsia="uk-UA"/>
        </w:rPr>
      </w:pPr>
      <w:r>
        <w:rPr>
          <w:rStyle w:val="a5"/>
          <w:rFonts w:ascii="Times New Roman" w:hAnsi="Times New Roman"/>
          <w:noProof/>
          <w:shd w:val="clear" w:color="auto" w:fill="FFFFFF"/>
          <w:lang w:val="uk-UA"/>
        </w:rPr>
        <w:fldChar w:fldCharType="begin"/>
      </w:r>
      <w:r>
        <w:rPr>
          <w:rStyle w:val="a5"/>
          <w:rFonts w:ascii="Times New Roman" w:hAnsi="Times New Roman"/>
          <w:noProof/>
          <w:shd w:val="clear" w:color="auto" w:fill="FFFFFF"/>
          <w:lang w:val="uk-UA"/>
        </w:rPr>
        <w:instrText xml:space="preserve"> HYPERLINK \l "_Toc413060382" </w:instrText>
      </w:r>
      <w:r>
        <w:rPr>
          <w:rStyle w:val="a5"/>
          <w:rFonts w:ascii="Times New Roman" w:hAnsi="Times New Roman"/>
          <w:noProof/>
          <w:shd w:val="clear" w:color="auto" w:fill="FFFFFF"/>
          <w:lang w:val="uk-UA"/>
        </w:rPr>
        <w:fldChar w:fldCharType="separate"/>
      </w:r>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r>
        <w:rPr>
          <w:noProof/>
        </w:rPr>
        <w:fldChar w:fldCharType="end"/>
      </w:r>
      <w:r w:rsidR="00DD79E4" w:rsidRPr="005C7A34">
        <w:t>1</w:t>
      </w:r>
      <w:r w:rsidR="00A52D34">
        <w:rPr>
          <w:lang w:val="uk-UA"/>
        </w:rPr>
        <w:t>4</w:t>
      </w:r>
    </w:p>
    <w:p w:rsidR="006A22DD" w:rsidRPr="005C7A34" w:rsidRDefault="005136A2"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5136A2"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5136A2"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F117C4">
          <w:rPr>
            <w:noProof/>
            <w:webHidden/>
          </w:rPr>
          <w:t>15</w:t>
        </w:r>
        <w:r w:rsidR="006A22DD" w:rsidRPr="005C7A34">
          <w:rPr>
            <w:noProof/>
            <w:webHidden/>
          </w:rPr>
          <w:fldChar w:fldCharType="end"/>
        </w:r>
      </w:hyperlink>
    </w:p>
    <w:p w:rsidR="006A22DD" w:rsidRPr="00A52D34" w:rsidRDefault="005136A2"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5136A2"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5136A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5136A2"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5136A2"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5136A2"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5136A2"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Pr>
                <w:rStyle w:val="FontStyle15"/>
                <w:rFonts w:eastAsia="Calibri"/>
                <w:sz w:val="24"/>
                <w:szCs w:val="24"/>
              </w:rPr>
              <w:t>10.03</w:t>
            </w:r>
            <w:r w:rsidRPr="009C2765">
              <w:rPr>
                <w:rStyle w:val="FontStyle15"/>
                <w:rFonts w:eastAsia="Calibri"/>
                <w:sz w:val="24"/>
                <w:szCs w:val="24"/>
              </w:rPr>
              <w:t>.2023р.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933EAD" w:rsidRDefault="00FA0BD9" w:rsidP="000F43CA">
            <w:pPr>
              <w:widowControl w:val="0"/>
              <w:tabs>
                <w:tab w:val="left" w:pos="1080"/>
              </w:tabs>
              <w:ind w:firstLine="720"/>
              <w:jc w:val="both"/>
              <w:rPr>
                <w:rFonts w:ascii="Times New Roman" w:hAnsi="Times New Roman"/>
              </w:rPr>
            </w:pPr>
            <w:r w:rsidRPr="00945BED">
              <w:rPr>
                <w:rFonts w:ascii="Times New Roman" w:hAnsi="Times New Roman"/>
                <w:b/>
              </w:rPr>
              <w:t>-</w:t>
            </w:r>
            <w:r w:rsidR="0044109E" w:rsidRPr="00945BED">
              <w:rPr>
                <w:rFonts w:ascii="Times New Roman" w:hAnsi="Times New Roman"/>
                <w:b/>
              </w:rPr>
              <w:t xml:space="preserve">       </w:t>
            </w:r>
            <w:r w:rsidR="000F43CA" w:rsidRPr="00933EAD">
              <w:rPr>
                <w:rFonts w:ascii="Times New Roman" w:hAnsi="Times New Roman"/>
              </w:rPr>
              <w:t xml:space="preserve">позитивний відгук від замовника по аналогічному договору щодо предмету закупівлі та </w:t>
            </w:r>
            <w:proofErr w:type="spellStart"/>
            <w:r w:rsidR="000F43CA" w:rsidRPr="00933EAD">
              <w:rPr>
                <w:rFonts w:ascii="Times New Roman" w:hAnsi="Times New Roman"/>
              </w:rPr>
              <w:t>скан</w:t>
            </w:r>
            <w:proofErr w:type="spellEnd"/>
            <w:r w:rsidR="000F43CA" w:rsidRPr="00933EAD">
              <w:rPr>
                <w:rFonts w:ascii="Times New Roman" w:hAnsi="Times New Roman"/>
              </w:rPr>
              <w:t>-копію цього договору (з додатком (</w:t>
            </w:r>
            <w:proofErr w:type="spellStart"/>
            <w:r w:rsidR="000F43CA" w:rsidRPr="00933EAD">
              <w:rPr>
                <w:rFonts w:ascii="Times New Roman" w:hAnsi="Times New Roman"/>
              </w:rPr>
              <w:t>ами</w:t>
            </w:r>
            <w:proofErr w:type="spellEnd"/>
            <w:r w:rsidR="000F43CA" w:rsidRPr="00933EAD">
              <w:rPr>
                <w:rFonts w:ascii="Times New Roman" w:hAnsi="Times New Roman"/>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0F43CA" w:rsidRDefault="00846EF6" w:rsidP="000F43CA">
            <w:pPr>
              <w:widowControl w:val="0"/>
              <w:tabs>
                <w:tab w:val="left" w:pos="1080"/>
              </w:tabs>
              <w:ind w:firstLine="720"/>
              <w:jc w:val="both"/>
              <w:rPr>
                <w:rFonts w:ascii="Times New Roman" w:hAnsi="Times New Roman"/>
                <w:lang w:val="ru-RU"/>
              </w:rPr>
            </w:pPr>
            <w:r>
              <w:rPr>
                <w:rFonts w:ascii="Times New Roman" w:hAnsi="Times New Roman"/>
              </w:rPr>
              <w:t xml:space="preserve">- </w:t>
            </w:r>
            <w:proofErr w:type="spellStart"/>
            <w:r w:rsidR="000F43CA" w:rsidRPr="00933EAD">
              <w:rPr>
                <w:rFonts w:ascii="Times New Roman" w:hAnsi="Times New Roman"/>
              </w:rPr>
              <w:t>скан</w:t>
            </w:r>
            <w:proofErr w:type="spellEnd"/>
            <w:r w:rsidR="000F43CA" w:rsidRPr="00933EAD">
              <w:rPr>
                <w:rFonts w:ascii="Times New Roman" w:hAnsi="Times New Roman"/>
              </w:rPr>
              <w:t>-копії(я) видаткових (</w:t>
            </w:r>
            <w:proofErr w:type="spellStart"/>
            <w:r w:rsidR="000F43CA" w:rsidRPr="00933EAD">
              <w:rPr>
                <w:rFonts w:ascii="Times New Roman" w:hAnsi="Times New Roman"/>
              </w:rPr>
              <w:t>ої</w:t>
            </w:r>
            <w:proofErr w:type="spellEnd"/>
            <w:r w:rsidR="000F43CA" w:rsidRPr="00933EAD">
              <w:rPr>
                <w:rFonts w:ascii="Times New Roman" w:hAnsi="Times New Roman"/>
              </w:rPr>
              <w:t>) накладних (</w:t>
            </w:r>
            <w:proofErr w:type="spellStart"/>
            <w:r w:rsidR="000F43CA" w:rsidRPr="00933EAD">
              <w:rPr>
                <w:rFonts w:ascii="Times New Roman" w:hAnsi="Times New Roman"/>
              </w:rPr>
              <w:t>ої</w:t>
            </w:r>
            <w:proofErr w:type="spellEnd"/>
            <w:r w:rsidR="000F43CA" w:rsidRPr="00933EAD">
              <w:rPr>
                <w:rFonts w:ascii="Times New Roman" w:hAnsi="Times New Roman"/>
              </w:rPr>
              <w:t xml:space="preserve">) до договору що зазначений у відгуку, які(я) свідчать про повне </w:t>
            </w:r>
            <w:r w:rsidR="00DE6C75">
              <w:rPr>
                <w:rFonts w:ascii="Times New Roman" w:hAnsi="Times New Roman"/>
              </w:rPr>
              <w:t>або часткове виконання</w:t>
            </w:r>
            <w:r w:rsidR="009D0C37">
              <w:rPr>
                <w:rFonts w:ascii="Times New Roman" w:hAnsi="Times New Roman"/>
              </w:rPr>
              <w:t xml:space="preserve"> договору</w:t>
            </w:r>
            <w:r w:rsidR="009D0C37">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lastRenderedPageBreak/>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 xml:space="preserve"> </w:t>
            </w:r>
            <w:r w:rsidR="0012607C" w:rsidRPr="00854F26">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w:t>
            </w:r>
            <w:r w:rsidRPr="00DD2FA1">
              <w:rPr>
                <w:rFonts w:ascii="Times New Roman" w:hAnsi="Times New Roman"/>
              </w:rPr>
              <w:lastRenderedPageBreak/>
              <w:t>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5136A2"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w:t>
            </w:r>
            <w:r w:rsidRPr="003E6AB3">
              <w:rPr>
                <w:rFonts w:ascii="Times New Roman" w:hAnsi="Times New Roman"/>
                <w:u w:val="single"/>
                <w:lang w:eastAsia="ru-RU"/>
              </w:rPr>
              <w:lastRenderedPageBreak/>
              <w:t xml:space="preserve">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03368">
              <w:rPr>
                <w:rFonts w:ascii="Times New Roman" w:hAnsi="Times New Roman"/>
                <w:b/>
                <w:i/>
                <w:color w:val="FF0000"/>
                <w:sz w:val="24"/>
                <w:szCs w:val="24"/>
                <w:highlight w:val="yellow"/>
                <w:lang w:val="ru-RU"/>
              </w:rPr>
              <w:t>27</w:t>
            </w:r>
            <w:bookmarkStart w:id="9" w:name="_GoBack"/>
            <w:bookmarkEnd w:id="9"/>
            <w:r w:rsidR="004403E4">
              <w:rPr>
                <w:rFonts w:ascii="Times New Roman" w:hAnsi="Times New Roman"/>
                <w:b/>
                <w:i/>
                <w:color w:val="FF0000"/>
                <w:sz w:val="24"/>
                <w:szCs w:val="24"/>
                <w:highlight w:val="yellow"/>
                <w:lang w:val="ru-RU"/>
              </w:rPr>
              <w:t>.12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362B26" w:rsidRPr="00A970AC">
              <w:rPr>
                <w:rFonts w:ascii="Times New Roman" w:hAnsi="Times New Roman"/>
                <w:b/>
                <w:i/>
                <w:color w:val="FF0000"/>
                <w:sz w:val="24"/>
                <w:szCs w:val="24"/>
                <w:highlight w:val="yellow"/>
              </w:rPr>
              <w:t>2</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E15A4A">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lastRenderedPageBreak/>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4475BC" w:rsidRDefault="004475BC" w:rsidP="004475BC">
            <w:pPr>
              <w:jc w:val="both"/>
              <w:rPr>
                <w:rFonts w:ascii="Times New Roman" w:hAnsi="Times New Roman"/>
                <w:b/>
                <w:sz w:val="24"/>
                <w:szCs w:val="24"/>
                <w:u w:val="single"/>
              </w:rPr>
            </w:pPr>
            <w:r w:rsidRPr="004475BC">
              <w:rPr>
                <w:rFonts w:ascii="Times New Roman" w:hAnsi="Times New Roman"/>
                <w:b/>
                <w:sz w:val="24"/>
                <w:szCs w:val="24"/>
                <w:u w:val="single"/>
              </w:rPr>
              <w:t xml:space="preserve">      Замовник здійснює закупівлю товару, що є предметом закупівлі, виключно якщо ступінь локалізації виробництва дорівнює чи перевищує 10 відсотків. </w:t>
            </w:r>
          </w:p>
          <w:p w:rsidR="00C517D9" w:rsidRPr="00C517D9" w:rsidRDefault="00C517D9" w:rsidP="00C517D9">
            <w:pPr>
              <w:jc w:val="both"/>
              <w:rPr>
                <w:rFonts w:ascii="Times New Roman" w:hAnsi="Times New Roman"/>
                <w:b/>
                <w:sz w:val="24"/>
                <w:szCs w:val="24"/>
                <w:u w:val="single"/>
              </w:rPr>
            </w:pPr>
            <w:r w:rsidRPr="00C517D9">
              <w:rPr>
                <w:rFonts w:ascii="Times New Roman" w:hAnsi="Times New Roman"/>
                <w:b/>
                <w:sz w:val="24"/>
                <w:szCs w:val="24"/>
                <w:u w:val="single"/>
              </w:rPr>
              <w:t xml:space="preserve">      </w:t>
            </w:r>
            <w:r w:rsidR="00344A06">
              <w:rPr>
                <w:rFonts w:ascii="Times New Roman" w:hAnsi="Times New Roman"/>
                <w:b/>
                <w:sz w:val="24"/>
                <w:szCs w:val="24"/>
                <w:u w:val="single"/>
              </w:rPr>
              <w:t xml:space="preserve">На підтвердження </w:t>
            </w:r>
            <w:r w:rsidRPr="00C517D9">
              <w:rPr>
                <w:rFonts w:ascii="Times New Roman" w:hAnsi="Times New Roman"/>
                <w:b/>
                <w:sz w:val="24"/>
                <w:szCs w:val="24"/>
                <w:u w:val="single"/>
              </w:rPr>
              <w:t xml:space="preserve">Учасник у складі тендерної пропозиції  надає </w:t>
            </w:r>
            <w:r w:rsidR="00A269C3">
              <w:rPr>
                <w:rFonts w:ascii="Times New Roman" w:hAnsi="Times New Roman"/>
                <w:b/>
                <w:sz w:val="24"/>
                <w:szCs w:val="24"/>
                <w:u w:val="single"/>
              </w:rPr>
              <w:t xml:space="preserve">довідку у довільній формі із зазначенням найменування товару, назви виробника та </w:t>
            </w:r>
            <w:r w:rsidR="00A269C3">
              <w:rPr>
                <w:rFonts w:ascii="Times New Roman" w:hAnsi="Times New Roman"/>
                <w:b/>
                <w:sz w:val="24"/>
                <w:szCs w:val="24"/>
                <w:u w:val="single"/>
                <w:lang w:val="en-US"/>
              </w:rPr>
              <w:t>ID</w:t>
            </w:r>
            <w:r w:rsidR="00A269C3">
              <w:rPr>
                <w:rFonts w:ascii="Times New Roman" w:hAnsi="Times New Roman"/>
                <w:b/>
                <w:sz w:val="24"/>
                <w:szCs w:val="24"/>
                <w:u w:val="single"/>
              </w:rPr>
              <w:t xml:space="preserve"> товару, який </w:t>
            </w:r>
            <w:r w:rsidR="00A269C3">
              <w:rPr>
                <w:rFonts w:ascii="Times New Roman" w:hAnsi="Times New Roman"/>
                <w:b/>
                <w:sz w:val="24"/>
                <w:szCs w:val="24"/>
                <w:u w:val="single"/>
              </w:rPr>
              <w:lastRenderedPageBreak/>
              <w:t xml:space="preserve">присвоєно електронною системою </w:t>
            </w:r>
            <w:proofErr w:type="spellStart"/>
            <w:r w:rsidR="00A269C3">
              <w:rPr>
                <w:rFonts w:ascii="Times New Roman" w:hAnsi="Times New Roman"/>
                <w:b/>
                <w:sz w:val="24"/>
                <w:szCs w:val="24"/>
                <w:u w:val="single"/>
              </w:rPr>
              <w:t>закупівель</w:t>
            </w:r>
            <w:proofErr w:type="spellEnd"/>
            <w:r w:rsidR="00A269C3">
              <w:rPr>
                <w:rFonts w:ascii="Times New Roman" w:hAnsi="Times New Roman"/>
                <w:b/>
                <w:sz w:val="24"/>
                <w:szCs w:val="24"/>
                <w:u w:val="single"/>
              </w:rPr>
              <w:t>. С</w:t>
            </w:r>
            <w:r w:rsidRPr="00C517D9">
              <w:rPr>
                <w:rFonts w:ascii="Times New Roman" w:hAnsi="Times New Roman"/>
                <w:b/>
                <w:sz w:val="24"/>
                <w:szCs w:val="24"/>
                <w:u w:val="single"/>
              </w:rPr>
              <w:t>тупінь локалізації виробництва має бути не меншим 10 % у 2022 році.</w:t>
            </w:r>
          </w:p>
          <w:p w:rsidR="001E4EE2" w:rsidRDefault="00A269C3" w:rsidP="00A269C3">
            <w:pPr>
              <w:jc w:val="both"/>
              <w:rPr>
                <w:rFonts w:ascii="Times New Roman" w:hAnsi="Times New Roman"/>
                <w:b/>
                <w:sz w:val="24"/>
                <w:szCs w:val="24"/>
                <w:u w:val="single"/>
              </w:rPr>
            </w:pPr>
            <w:r w:rsidRPr="00A269C3">
              <w:rPr>
                <w:rFonts w:ascii="Times New Roman" w:hAnsi="Times New Roman"/>
                <w:b/>
                <w:sz w:val="24"/>
                <w:szCs w:val="24"/>
                <w:u w:val="single"/>
              </w:rPr>
              <w:t xml:space="preserve">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8" w:history="1">
              <w:r w:rsidRPr="0029754E">
                <w:rPr>
                  <w:rStyle w:val="a5"/>
                  <w:rFonts w:ascii="Times New Roman" w:hAnsi="Times New Roman"/>
                  <w:b/>
                  <w:sz w:val="24"/>
                  <w:szCs w:val="24"/>
                </w:rPr>
                <w:t>https://prozorro.gov.ua/search/products?local_share=10</w:t>
              </w:r>
            </w:hyperlink>
            <w:r>
              <w:rPr>
                <w:rFonts w:ascii="Times New Roman" w:hAnsi="Times New Roman"/>
                <w:b/>
                <w:sz w:val="24"/>
                <w:szCs w:val="24"/>
                <w:u w:val="single"/>
              </w:rPr>
              <w:t xml:space="preserve"> </w:t>
            </w:r>
          </w:p>
          <w:p w:rsidR="00A269C3" w:rsidRPr="001E4EE2" w:rsidRDefault="00A269C3" w:rsidP="009F7DB9">
            <w:pPr>
              <w:jc w:val="both"/>
              <w:rPr>
                <w:rFonts w:ascii="Times New Roman" w:hAnsi="Times New Roman"/>
                <w:b/>
                <w:sz w:val="24"/>
                <w:szCs w:val="24"/>
                <w:u w:val="single"/>
              </w:rPr>
            </w:pPr>
            <w:r>
              <w:rPr>
                <w:rFonts w:ascii="Times New Roman" w:hAnsi="Times New Roman"/>
                <w:b/>
                <w:sz w:val="24"/>
                <w:szCs w:val="24"/>
                <w:u w:val="single"/>
              </w:rPr>
              <w:t xml:space="preserve">    </w:t>
            </w:r>
            <w:r w:rsidRPr="00A269C3">
              <w:rPr>
                <w:rFonts w:ascii="Times New Roman" w:hAnsi="Times New Roman"/>
                <w:b/>
                <w:sz w:val="24"/>
                <w:szCs w:val="24"/>
                <w:u w:val="single"/>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w:t>
            </w:r>
            <w:r w:rsidR="00344A06">
              <w:rPr>
                <w:rFonts w:ascii="Times New Roman" w:hAnsi="Times New Roman"/>
                <w:b/>
                <w:sz w:val="24"/>
                <w:szCs w:val="24"/>
                <w:u w:val="single"/>
              </w:rPr>
              <w:t>,</w:t>
            </w:r>
            <w:r w:rsidRPr="00A269C3">
              <w:rPr>
                <w:rFonts w:ascii="Times New Roman" w:hAnsi="Times New Roman"/>
                <w:b/>
                <w:sz w:val="24"/>
                <w:szCs w:val="24"/>
                <w:u w:val="single"/>
              </w:rPr>
              <w:t xml:space="preserve"> замовник відхиляє тендерну пропозицію учасника на підставі</w:t>
            </w:r>
            <w:r w:rsidR="009F7DB9">
              <w:rPr>
                <w:rFonts w:ascii="Times New Roman" w:hAnsi="Times New Roman"/>
                <w:b/>
                <w:sz w:val="24"/>
                <w:szCs w:val="24"/>
                <w:u w:val="single"/>
              </w:rPr>
              <w:t xml:space="preserve"> пп.2 п.41 Особливостей</w:t>
            </w:r>
            <w:r w:rsidRPr="00A269C3">
              <w:rPr>
                <w:rFonts w:ascii="Times New Roman" w:hAnsi="Times New Roman"/>
                <w:b/>
                <w:sz w:val="24"/>
                <w:szCs w:val="24"/>
                <w:u w:val="single"/>
              </w:rPr>
              <w:t xml:space="preserve">, а саме: </w:t>
            </w:r>
            <w:r w:rsidR="009F7DB9" w:rsidRPr="009F7DB9">
              <w:rPr>
                <w:rFonts w:ascii="Times New Roman" w:hAnsi="Times New Roman"/>
                <w:b/>
                <w:sz w:val="24"/>
                <w:szCs w:val="24"/>
                <w:u w:val="single"/>
              </w:rPr>
              <w:t>не відповідає вимогам, установленим у тендерній документації відповідно до абзацу першого частини третьої статті 22 Закону</w:t>
            </w:r>
            <w:r w:rsidR="009F7DB9">
              <w:rPr>
                <w:rFonts w:ascii="Times New Roman" w:hAnsi="Times New Roman"/>
                <w:b/>
                <w:sz w:val="24"/>
                <w:szCs w:val="24"/>
                <w:u w:val="single"/>
              </w:rPr>
              <w:t>.</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14. Ємність </w:t>
            </w:r>
          </w:p>
        </w:tc>
        <w:tc>
          <w:tcPr>
            <w:tcW w:w="3119" w:type="dxa"/>
          </w:tcPr>
          <w:p w:rsidR="00AD69AB" w:rsidRPr="000C18D8" w:rsidRDefault="00AD69AB" w:rsidP="00AD69AB">
            <w:pPr>
              <w:jc w:val="center"/>
              <w:rPr>
                <w:rFonts w:ascii="Times New Roman" w:hAnsi="Times New Roman"/>
                <w:sz w:val="24"/>
                <w:szCs w:val="24"/>
              </w:rPr>
            </w:pPr>
            <w:r>
              <w:rPr>
                <w:rFonts w:ascii="Times New Roman" w:hAnsi="Times New Roman"/>
                <w:sz w:val="24"/>
                <w:szCs w:val="24"/>
              </w:rPr>
              <w:t>Всесезонна (</w:t>
            </w:r>
            <w:proofErr w:type="spellStart"/>
            <w:r>
              <w:rPr>
                <w:rFonts w:ascii="Times New Roman" w:hAnsi="Times New Roman"/>
                <w:sz w:val="24"/>
                <w:szCs w:val="24"/>
              </w:rPr>
              <w:t>сендвіч</w:t>
            </w:r>
            <w:proofErr w:type="spellEnd"/>
            <w:r>
              <w:rPr>
                <w:rFonts w:ascii="Times New Roman" w:hAnsi="Times New Roman"/>
                <w:sz w:val="24"/>
                <w:szCs w:val="24"/>
              </w:rPr>
              <w:t>)</w:t>
            </w:r>
            <w:r w:rsidRPr="000C18D8">
              <w:rPr>
                <w:rFonts w:ascii="Times New Roman" w:hAnsi="Times New Roman"/>
                <w:sz w:val="24"/>
                <w:szCs w:val="24"/>
              </w:rPr>
              <w:t>,</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 об'єм  цистерни  не менше 7,0 </w:t>
            </w:r>
            <w:proofErr w:type="spellStart"/>
            <w:r w:rsidRPr="000C18D8">
              <w:rPr>
                <w:rFonts w:ascii="Times New Roman" w:hAnsi="Times New Roman"/>
                <w:sz w:val="24"/>
                <w:szCs w:val="24"/>
              </w:rPr>
              <w:t>м</w:t>
            </w:r>
            <w:r w:rsidRPr="00420834">
              <w:rPr>
                <w:rFonts w:ascii="Times New Roman" w:hAnsi="Times New Roman"/>
                <w:sz w:val="24"/>
                <w:szCs w:val="24"/>
                <w:vertAlign w:val="superscript"/>
              </w:rPr>
              <w:t>З</w:t>
            </w:r>
            <w:proofErr w:type="spellEnd"/>
            <w:r w:rsidRPr="000C18D8">
              <w:rPr>
                <w:rFonts w:ascii="Times New Roman" w:hAnsi="Times New Roman"/>
                <w:sz w:val="24"/>
                <w:szCs w:val="24"/>
              </w:rPr>
              <w:t xml:space="preserve"> ,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сталь нержавіюча товщи</w:t>
            </w:r>
            <w:r>
              <w:rPr>
                <w:rFonts w:ascii="Times New Roman" w:hAnsi="Times New Roman"/>
                <w:sz w:val="24"/>
                <w:szCs w:val="24"/>
              </w:rPr>
              <w:t>на не менше 4 мм, з утеплювачем</w:t>
            </w:r>
            <w:r w:rsidRPr="000C18D8">
              <w:rPr>
                <w:rFonts w:ascii="Times New Roman" w:hAnsi="Times New Roman"/>
                <w:sz w:val="24"/>
                <w:szCs w:val="24"/>
              </w:rPr>
              <w:t xml:space="preserve"> та знаходиться </w:t>
            </w:r>
            <w:proofErr w:type="spellStart"/>
            <w:r w:rsidRPr="000C18D8">
              <w:rPr>
                <w:rFonts w:ascii="Times New Roman" w:hAnsi="Times New Roman"/>
                <w:sz w:val="24"/>
                <w:szCs w:val="24"/>
              </w:rPr>
              <w:t>пiд</w:t>
            </w:r>
            <w:proofErr w:type="spellEnd"/>
            <w:r w:rsidRPr="000C18D8">
              <w:rPr>
                <w:rFonts w:ascii="Times New Roman" w:hAnsi="Times New Roman"/>
                <w:sz w:val="24"/>
                <w:szCs w:val="24"/>
              </w:rPr>
              <w:t xml:space="preserve"> ка</w:t>
            </w:r>
            <w:r>
              <w:rPr>
                <w:rFonts w:ascii="Times New Roman" w:hAnsi="Times New Roman"/>
                <w:sz w:val="24"/>
                <w:szCs w:val="24"/>
              </w:rPr>
              <w:t>ркасом  ґрунтованого (фарбованого</w:t>
            </w:r>
            <w:r w:rsidRPr="000C18D8">
              <w:rPr>
                <w:rFonts w:ascii="Times New Roman" w:hAnsi="Times New Roman"/>
                <w:sz w:val="24"/>
                <w:szCs w:val="24"/>
              </w:rPr>
              <w:t>)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16</w:t>
            </w:r>
            <w:r w:rsidRPr="00CF029B">
              <w:rPr>
                <w:rFonts w:ascii="Times New Roman" w:hAnsi="Times New Roman"/>
                <w:sz w:val="24"/>
                <w:szCs w:val="24"/>
              </w:rPr>
              <w:t>. Насос високого тиску, з додатковим обладнання для продуву насосу та водяної системи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моделі  </w:t>
            </w:r>
            <w:proofErr w:type="spellStart"/>
            <w:r w:rsidRPr="000C18D8">
              <w:rPr>
                <w:rFonts w:ascii="Times New Roman" w:hAnsi="Times New Roman"/>
                <w:sz w:val="24"/>
                <w:szCs w:val="24"/>
                <w:lang w:val="en-US"/>
              </w:rPr>
              <w:t>Pratissoli</w:t>
            </w:r>
            <w:proofErr w:type="spellEnd"/>
            <w:r w:rsidRPr="000C18D8">
              <w:rPr>
                <w:rFonts w:ascii="Times New Roman" w:hAnsi="Times New Roman"/>
                <w:sz w:val="24"/>
                <w:szCs w:val="24"/>
              </w:rPr>
              <w:t xml:space="preserve"> MW 45 (Італія), 15,5Мпа, 267 л/хв або еквівалент, відповідний водяний фільтр</w:t>
            </w:r>
            <w:r>
              <w:rPr>
                <w:rFonts w:ascii="Times New Roman" w:hAnsi="Times New Roman"/>
                <w:sz w:val="24"/>
                <w:szCs w:val="24"/>
              </w:rPr>
              <w:t xml:space="preserve"> </w:t>
            </w:r>
            <w:r w:rsidRPr="000C18D8">
              <w:rPr>
                <w:rFonts w:ascii="Times New Roman" w:hAnsi="Times New Roman"/>
                <w:sz w:val="24"/>
                <w:szCs w:val="24"/>
              </w:rPr>
              <w:t>(насос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17. Барабан робочого рукава.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Виготовлений із сталі з гідроприводом,  плавним регулюванням обертів і реверсивним режимом та з </w:t>
            </w:r>
            <w:r w:rsidRPr="000C18D8">
              <w:rPr>
                <w:rFonts w:ascii="Times New Roman" w:hAnsi="Times New Roman"/>
                <w:sz w:val="24"/>
                <w:szCs w:val="24"/>
              </w:rPr>
              <w:lastRenderedPageBreak/>
              <w:t>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18. Діаметр очищення труб,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19. Рукав високого тиску ДУ-25 мм, довжина, 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20. Дистанційна система регулювання обертів насоса від мінімуму до максимуму.</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Система захисту обладнання при мінімальному рівні води.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22. Задній відсік оператора повинен мати освітлення, пульт керування установкою, обладнаний незалежним обігрівачем, незалежним вимикачем пуском та запуском двигуна та обладнання.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10шт.</w:t>
            </w:r>
            <w:r>
              <w:rPr>
                <w:rFonts w:ascii="Times New Roman" w:hAnsi="Times New Roman"/>
                <w:sz w:val="24"/>
                <w:szCs w:val="24"/>
              </w:rPr>
              <w:t xml:space="preserve"> </w:t>
            </w:r>
            <w:r w:rsidRPr="000C18D8">
              <w:rPr>
                <w:rFonts w:ascii="Times New Roman" w:hAnsi="Times New Roman"/>
                <w:sz w:val="24"/>
                <w:szCs w:val="24"/>
              </w:rPr>
              <w:t xml:space="preserve">(Запасним комплектом (бухтою) промивного рукава Д-25 мм, 100 </w:t>
            </w:r>
            <w:proofErr w:type="spellStart"/>
            <w:r w:rsidRPr="000C18D8">
              <w:rPr>
                <w:rFonts w:ascii="Times New Roman" w:hAnsi="Times New Roman"/>
                <w:sz w:val="24"/>
                <w:szCs w:val="24"/>
              </w:rPr>
              <w:t>м.п</w:t>
            </w:r>
            <w:proofErr w:type="spellEnd"/>
            <w:r w:rsidRPr="000C18D8">
              <w:rPr>
                <w:rFonts w:ascii="Times New Roman" w:hAnsi="Times New Roman"/>
                <w:sz w:val="24"/>
                <w:szCs w:val="24"/>
              </w:rPr>
              <w:t>.</w:t>
            </w:r>
            <w:r>
              <w:rPr>
                <w:rFonts w:ascii="Times New Roman" w:hAnsi="Times New Roman"/>
                <w:sz w:val="24"/>
                <w:szCs w:val="24"/>
              </w:rPr>
              <w:t>;</w:t>
            </w:r>
          </w:p>
          <w:p w:rsidR="00AD69AB" w:rsidRDefault="00AD69AB" w:rsidP="00AD69AB">
            <w:pPr>
              <w:jc w:val="both"/>
              <w:rPr>
                <w:rFonts w:ascii="Times New Roman" w:hAnsi="Times New Roman"/>
                <w:sz w:val="24"/>
                <w:szCs w:val="24"/>
              </w:rPr>
            </w:pPr>
            <w:r>
              <w:rPr>
                <w:rFonts w:ascii="Times New Roman" w:hAnsi="Times New Roman"/>
                <w:sz w:val="24"/>
                <w:szCs w:val="24"/>
              </w:rPr>
              <w:t>Насадками прохі</w:t>
            </w:r>
            <w:r w:rsidRPr="000C18D8">
              <w:rPr>
                <w:rFonts w:ascii="Times New Roman" w:hAnsi="Times New Roman"/>
                <w:sz w:val="24"/>
                <w:szCs w:val="24"/>
              </w:rPr>
              <w:t>дними на промивний рукав:</w:t>
            </w:r>
          </w:p>
          <w:p w:rsidR="00AD69AB" w:rsidRDefault="00AD69AB" w:rsidP="00AD69AB">
            <w:pPr>
              <w:pStyle w:val="af"/>
              <w:numPr>
                <w:ilvl w:val="0"/>
                <w:numId w:val="42"/>
              </w:numPr>
              <w:ind w:left="29" w:firstLine="331"/>
              <w:jc w:val="both"/>
              <w:rPr>
                <w:rFonts w:ascii="Times New Roman" w:hAnsi="Times New Roman"/>
                <w:sz w:val="24"/>
                <w:szCs w:val="24"/>
              </w:rPr>
            </w:pPr>
            <w:r w:rsidRPr="000E5C2E">
              <w:rPr>
                <w:rFonts w:ascii="Times New Roman" w:hAnsi="Times New Roman"/>
                <w:sz w:val="24"/>
                <w:szCs w:val="24"/>
              </w:rPr>
              <w:t xml:space="preserve">Пуля </w:t>
            </w:r>
            <w:r>
              <w:rPr>
                <w:rFonts w:ascii="Times New Roman" w:hAnsi="Times New Roman"/>
                <w:sz w:val="24"/>
                <w:szCs w:val="24"/>
              </w:rPr>
              <w:t>(для промивання труб діаметром від 150 до 600 мм, довжина 100:140 мм, 50:60мм, вага небільше 1 кг, продуктивність 8-20 м</w:t>
            </w:r>
            <w:r>
              <w:rPr>
                <w:rFonts w:ascii="Times New Roman" w:hAnsi="Times New Roman"/>
                <w:sz w:val="24"/>
                <w:szCs w:val="24"/>
                <w:vertAlign w:val="superscript"/>
              </w:rPr>
              <w:t xml:space="preserve">3 </w:t>
            </w:r>
            <w:r>
              <w:rPr>
                <w:rFonts w:ascii="Times New Roman" w:hAnsi="Times New Roman"/>
                <w:sz w:val="24"/>
                <w:szCs w:val="24"/>
              </w:rPr>
              <w:t>/ год; сопла  не менше 1 перед., 10 задніх);</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Pr>
                <w:rFonts w:ascii="Times New Roman" w:hAnsi="Times New Roman"/>
                <w:sz w:val="24"/>
                <w:szCs w:val="24"/>
                <w:vertAlign w:val="superscript"/>
              </w:rPr>
              <w:t xml:space="preserve">3 </w:t>
            </w:r>
            <w:r>
              <w:rPr>
                <w:rFonts w:ascii="Times New Roman" w:hAnsi="Times New Roman"/>
                <w:sz w:val="24"/>
                <w:szCs w:val="24"/>
              </w:rPr>
              <w:t>/год);</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год, сопла не менше 1 перед.,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xml:space="preserve">/ год, сопла не менше 4 </w:t>
            </w:r>
            <w:proofErr w:type="spellStart"/>
            <w:r>
              <w:rPr>
                <w:rFonts w:ascii="Times New Roman" w:hAnsi="Times New Roman"/>
                <w:sz w:val="24"/>
                <w:szCs w:val="24"/>
              </w:rPr>
              <w:t>передн</w:t>
            </w:r>
            <w:proofErr w:type="spellEnd"/>
            <w:r>
              <w:rPr>
                <w:rFonts w:ascii="Times New Roman" w:hAnsi="Times New Roman"/>
                <w:sz w:val="24"/>
                <w:szCs w:val="24"/>
              </w:rPr>
              <w:t>.,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 xml:space="preserve">Ядро (для промивання труб діаметром від 150 до 800мм), довжина </w:t>
            </w:r>
            <w:r w:rsidRPr="00A019B7">
              <w:rPr>
                <w:rFonts w:ascii="Times New Roman" w:hAnsi="Times New Roman"/>
                <w:sz w:val="24"/>
                <w:szCs w:val="24"/>
              </w:rPr>
              <w:t>130:140 мм, діаметр 75:85 мм, вага не більше 2кг, продуктивність 8:20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 год.</w:t>
            </w:r>
          </w:p>
          <w:p w:rsidR="00AD69AB" w:rsidRDefault="00AD69AB" w:rsidP="00AD69AB">
            <w:pPr>
              <w:pStyle w:val="af"/>
              <w:ind w:left="29" w:firstLine="331"/>
              <w:jc w:val="both"/>
              <w:rPr>
                <w:rFonts w:ascii="Times New Roman" w:hAnsi="Times New Roman"/>
                <w:sz w:val="24"/>
                <w:szCs w:val="24"/>
              </w:rPr>
            </w:pPr>
            <w:r>
              <w:rPr>
                <w:rFonts w:ascii="Times New Roman" w:hAnsi="Times New Roman"/>
                <w:sz w:val="24"/>
                <w:szCs w:val="24"/>
              </w:rPr>
              <w:lastRenderedPageBreak/>
              <w:t xml:space="preserve">Насадка реверсна – </w:t>
            </w:r>
            <w:proofErr w:type="spellStart"/>
            <w:r>
              <w:rPr>
                <w:rFonts w:ascii="Times New Roman" w:hAnsi="Times New Roman"/>
                <w:sz w:val="24"/>
                <w:szCs w:val="24"/>
              </w:rPr>
              <w:t>трьохрежимна</w:t>
            </w:r>
            <w:proofErr w:type="spellEnd"/>
            <w:r>
              <w:rPr>
                <w:rFonts w:ascii="Times New Roman" w:hAnsi="Times New Roman"/>
                <w:sz w:val="24"/>
                <w:szCs w:val="24"/>
              </w:rPr>
              <w:t xml:space="preserve"> з функцією жирових </w:t>
            </w:r>
            <w:proofErr w:type="spellStart"/>
            <w:r>
              <w:rPr>
                <w:rFonts w:ascii="Times New Roman" w:hAnsi="Times New Roman"/>
                <w:sz w:val="24"/>
                <w:szCs w:val="24"/>
              </w:rPr>
              <w:t>відкладень</w:t>
            </w:r>
            <w:proofErr w:type="spellEnd"/>
            <w:r>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Pr>
                <w:rFonts w:ascii="Times New Roman" w:hAnsi="Times New Roman"/>
                <w:sz w:val="24"/>
                <w:szCs w:val="24"/>
                <w:vertAlign w:val="superscript"/>
              </w:rPr>
              <w:t>3</w:t>
            </w:r>
            <w:r>
              <w:rPr>
                <w:rFonts w:ascii="Times New Roman" w:hAnsi="Times New Roman"/>
                <w:sz w:val="24"/>
                <w:szCs w:val="24"/>
              </w:rPr>
              <w:t xml:space="preserve">/ год; сопла не більше 1 </w:t>
            </w:r>
            <w:proofErr w:type="spellStart"/>
            <w:r>
              <w:rPr>
                <w:rFonts w:ascii="Times New Roman" w:hAnsi="Times New Roman"/>
                <w:sz w:val="24"/>
                <w:szCs w:val="24"/>
              </w:rPr>
              <w:t>передн</w:t>
            </w:r>
            <w:proofErr w:type="spellEnd"/>
            <w:r>
              <w:rPr>
                <w:rFonts w:ascii="Times New Roman" w:hAnsi="Times New Roman"/>
                <w:sz w:val="24"/>
                <w:szCs w:val="24"/>
              </w:rPr>
              <w:t xml:space="preserve">. на 10 </w:t>
            </w:r>
            <w:proofErr w:type="spellStart"/>
            <w:r>
              <w:rPr>
                <w:rFonts w:ascii="Times New Roman" w:hAnsi="Times New Roman"/>
                <w:sz w:val="24"/>
                <w:szCs w:val="24"/>
              </w:rPr>
              <w:t>передньо</w:t>
            </w:r>
            <w:proofErr w:type="spellEnd"/>
            <w:r>
              <w:rPr>
                <w:rFonts w:ascii="Times New Roman" w:hAnsi="Times New Roman"/>
                <w:sz w:val="24"/>
                <w:szCs w:val="24"/>
              </w:rPr>
              <w:t>-бокових або 10 задніх.);</w:t>
            </w:r>
          </w:p>
          <w:p w:rsidR="00AD69AB" w:rsidRPr="00A019B7" w:rsidRDefault="00AD69AB" w:rsidP="00AD69AB">
            <w:pPr>
              <w:pStyle w:val="af"/>
              <w:ind w:left="29" w:firstLine="331"/>
              <w:jc w:val="both"/>
              <w:rPr>
                <w:rFonts w:ascii="Times New Roman" w:hAnsi="Times New Roman"/>
                <w:sz w:val="24"/>
                <w:szCs w:val="24"/>
              </w:rPr>
            </w:pPr>
            <w:r>
              <w:rPr>
                <w:rFonts w:ascii="Times New Roman" w:hAnsi="Times New Roman"/>
                <w:sz w:val="24"/>
                <w:szCs w:val="24"/>
              </w:rPr>
              <w:t>Насадка ротаційна «фрезер»  для промивання труб діаметром від 200 до 800 мм) довжина не більше 210 мм, діаметр не більше 80мм, вага не більше 3,3кг; продуктивність 8:20 м</w:t>
            </w:r>
            <w:r>
              <w:rPr>
                <w:rFonts w:ascii="Times New Roman" w:hAnsi="Times New Roman"/>
                <w:sz w:val="24"/>
                <w:szCs w:val="24"/>
                <w:vertAlign w:val="superscript"/>
              </w:rPr>
              <w:t>3</w:t>
            </w:r>
            <w:r>
              <w:rPr>
                <w:rFonts w:ascii="Times New Roman" w:hAnsi="Times New Roman"/>
                <w:sz w:val="24"/>
                <w:szCs w:val="24"/>
              </w:rPr>
              <w:t xml:space="preserve">/ год; сопла не менше 3 </w:t>
            </w:r>
            <w:proofErr w:type="spellStart"/>
            <w:r>
              <w:rPr>
                <w:rFonts w:ascii="Times New Roman" w:hAnsi="Times New Roman"/>
                <w:sz w:val="24"/>
                <w:szCs w:val="24"/>
              </w:rPr>
              <w:t>боков</w:t>
            </w:r>
            <w:proofErr w:type="spellEnd"/>
            <w:r>
              <w:rPr>
                <w:rFonts w:ascii="Times New Roman" w:hAnsi="Times New Roman"/>
                <w:sz w:val="24"/>
                <w:szCs w:val="24"/>
              </w:rPr>
              <w:t>. обертання та 4-х задніх.</w:t>
            </w:r>
          </w:p>
          <w:p w:rsidR="00AD69AB" w:rsidRPr="000C18D8" w:rsidRDefault="00AD69AB" w:rsidP="00AD69AB">
            <w:pPr>
              <w:jc w:val="both"/>
              <w:rPr>
                <w:rFonts w:ascii="Times New Roman" w:hAnsi="Times New Roman"/>
                <w:sz w:val="24"/>
                <w:szCs w:val="24"/>
              </w:rPr>
            </w:pP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25. Базове додаткове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Набір інструментів необхідний для проведення обслуговування;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C25BB8">
        <w:rPr>
          <w:rFonts w:ascii="Times New Roman" w:hAnsi="Times New Roman"/>
          <w:i/>
          <w:sz w:val="24"/>
          <w:szCs w:val="24"/>
          <w:highlight w:val="yellow"/>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AD69AB" w:rsidRPr="00FE1303"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proofErr w:type="spellStart"/>
      <w:r w:rsidRPr="00FD6E7B">
        <w:rPr>
          <w:rFonts w:ascii="Times New Roman" w:eastAsia="Calibri" w:hAnsi="Times New Roman"/>
          <w:sz w:val="24"/>
          <w:szCs w:val="24"/>
        </w:rPr>
        <w:t>Скан</w:t>
      </w:r>
      <w:proofErr w:type="spellEnd"/>
      <w:r w:rsidRPr="00FD6E7B">
        <w:rPr>
          <w:rFonts w:ascii="Times New Roman" w:eastAsia="Calibri" w:hAnsi="Times New Roman"/>
          <w:sz w:val="24"/>
          <w:szCs w:val="24"/>
        </w:rPr>
        <w:t>-копію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виробниками або постачальниками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AD69AB"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BE77B6" w:rsidRPr="008C6122">
        <w:rPr>
          <w:rFonts w:ascii="Times New Roman" w:hAnsi="Times New Roman"/>
          <w:i/>
          <w:iCs/>
          <w:sz w:val="24"/>
          <w:szCs w:val="24"/>
          <w:lang w:eastAsia="ar-SA"/>
        </w:rPr>
        <w:t>__</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C9366D">
        <w:rPr>
          <w:rStyle w:val="FontStyle15"/>
          <w:rFonts w:eastAsia="Calibri"/>
          <w:sz w:val="24"/>
          <w:szCs w:val="24"/>
        </w:rPr>
        <w:t>10.03</w:t>
      </w:r>
      <w:r w:rsidR="009C2765" w:rsidRPr="009C2765">
        <w:rPr>
          <w:rStyle w:val="FontStyle15"/>
          <w:rFonts w:eastAsia="Calibri"/>
          <w:sz w:val="24"/>
          <w:szCs w:val="24"/>
        </w:rPr>
        <w:t>.2023</w:t>
      </w:r>
      <w:r w:rsidR="004F59FF" w:rsidRPr="009C2765">
        <w:rPr>
          <w:rStyle w:val="FontStyle15"/>
          <w:rFonts w:eastAsia="Calibri"/>
          <w:sz w:val="24"/>
          <w:szCs w:val="24"/>
        </w:rPr>
        <w:t>р.</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C04BD1" w:rsidRPr="00C04BD1">
        <w:rPr>
          <w:rFonts w:ascii="Times New Roman" w:hAnsi="Times New Roman"/>
          <w:sz w:val="24"/>
          <w:szCs w:val="24"/>
        </w:rPr>
        <w:t>31.03.2023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0627F8"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7A3918"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7A3918" w:rsidRPr="007B021F" w:rsidRDefault="007A3918" w:rsidP="000627F8">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Довідка</w:t>
            </w:r>
            <w:r w:rsidRPr="007A3918">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7A3918">
              <w:rPr>
                <w:rFonts w:ascii="Times New Roman" w:eastAsiaTheme="minorHAnsi" w:hAnsi="Times New Roman" w:cstheme="minorBidi"/>
                <w:sz w:val="24"/>
                <w:szCs w:val="24"/>
                <w:lang w:eastAsia="ru-RU"/>
              </w:rPr>
              <w:t>закупівель</w:t>
            </w:r>
            <w:proofErr w:type="spellEnd"/>
            <w:r w:rsidRPr="007A3918">
              <w:rPr>
                <w:rFonts w:ascii="Times New Roman" w:eastAsiaTheme="minorHAnsi" w:hAnsi="Times New Roman" w:cstheme="minorBidi"/>
                <w:sz w:val="24"/>
                <w:szCs w:val="24"/>
                <w:lang w:eastAsia="ru-RU"/>
              </w:rPr>
              <w:t xml:space="preserve">. Ступінь локалізації виробництва має </w:t>
            </w:r>
            <w:r w:rsidR="00295A24">
              <w:rPr>
                <w:rFonts w:ascii="Times New Roman" w:eastAsiaTheme="minorHAnsi" w:hAnsi="Times New Roman" w:cstheme="minorBidi"/>
                <w:sz w:val="24"/>
                <w:szCs w:val="24"/>
                <w:lang w:eastAsia="ru-RU"/>
              </w:rPr>
              <w:t xml:space="preserve">бути не меншим 10 % у 2022 році </w:t>
            </w:r>
            <w:r w:rsidR="00295A24" w:rsidRPr="007B021F">
              <w:rPr>
                <w:rFonts w:ascii="Times New Roman" w:eastAsiaTheme="minorHAnsi" w:hAnsi="Times New Roman" w:cstheme="minorBidi"/>
                <w:sz w:val="24"/>
                <w:szCs w:val="24"/>
                <w:lang w:eastAsia="ru-RU"/>
              </w:rPr>
              <w:t xml:space="preserve">(згідно </w:t>
            </w:r>
            <w:r w:rsidR="00295A24" w:rsidRPr="007B021F">
              <w:rPr>
                <w:rFonts w:ascii="Times New Roman" w:eastAsiaTheme="minorHAnsi" w:hAnsi="Times New Roman"/>
                <w:sz w:val="24"/>
                <w:szCs w:val="24"/>
                <w:lang w:eastAsia="en-US"/>
              </w:rPr>
              <w:t>п.3 «</w:t>
            </w:r>
            <w:r w:rsidR="00295A24" w:rsidRPr="007B021F">
              <w:rPr>
                <w:rFonts w:ascii="Times New Roman" w:hAnsi="Times New Roman"/>
                <w:sz w:val="24"/>
                <w:szCs w:val="24"/>
              </w:rPr>
              <w:t>Інша інформація»</w:t>
            </w:r>
            <w:r w:rsidR="00295A24"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00295A24">
              <w:rPr>
                <w:rFonts w:ascii="Times New Roman" w:eastAsiaTheme="minorHAnsi" w:hAnsi="Times New Roman"/>
                <w:sz w:val="24"/>
                <w:szCs w:val="24"/>
                <w:lang w:eastAsia="en-US"/>
              </w:rPr>
              <w:t>.</w:t>
            </w:r>
          </w:p>
        </w:tc>
      </w:tr>
      <w:tr w:rsidR="000627F8" w:rsidRPr="00D8618E" w:rsidTr="001310B3">
        <w:tc>
          <w:tcPr>
            <w:tcW w:w="675" w:type="dxa"/>
          </w:tcPr>
          <w:p w:rsidR="000627F8" w:rsidRPr="00D8618E" w:rsidRDefault="007A3918"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A2" w:rsidRDefault="005136A2" w:rsidP="00496EA4">
      <w:pPr>
        <w:spacing w:after="0" w:line="240" w:lineRule="auto"/>
      </w:pPr>
      <w:r>
        <w:separator/>
      </w:r>
    </w:p>
  </w:endnote>
  <w:endnote w:type="continuationSeparator" w:id="0">
    <w:p w:rsidR="005136A2" w:rsidRDefault="005136A2"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6A66C7" w:rsidRDefault="006A66C7">
        <w:pPr>
          <w:pStyle w:val="ab"/>
          <w:jc w:val="right"/>
        </w:pPr>
        <w:r>
          <w:fldChar w:fldCharType="begin"/>
        </w:r>
        <w:r>
          <w:instrText>PAGE   \* MERGEFORMAT</w:instrText>
        </w:r>
        <w:r>
          <w:fldChar w:fldCharType="separate"/>
        </w:r>
        <w:r w:rsidR="00503368" w:rsidRPr="00503368">
          <w:rPr>
            <w:noProof/>
            <w:lang w:val="ru-RU"/>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A2" w:rsidRDefault="005136A2" w:rsidP="00496EA4">
      <w:pPr>
        <w:spacing w:after="0" w:line="240" w:lineRule="auto"/>
      </w:pPr>
      <w:r>
        <w:separator/>
      </w:r>
    </w:p>
  </w:footnote>
  <w:footnote w:type="continuationSeparator" w:id="0">
    <w:p w:rsidR="005136A2" w:rsidRDefault="005136A2"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438F"/>
    <w:rsid w:val="00175027"/>
    <w:rsid w:val="00175645"/>
    <w:rsid w:val="001757D0"/>
    <w:rsid w:val="00175C1E"/>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66EB"/>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1B4"/>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59"/>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55D"/>
    <w:rsid w:val="007A52E4"/>
    <w:rsid w:val="007A5ECF"/>
    <w:rsid w:val="007A637B"/>
    <w:rsid w:val="007A6EDF"/>
    <w:rsid w:val="007B10A7"/>
    <w:rsid w:val="007B287E"/>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765"/>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C0AFD"/>
    <w:rsid w:val="00AC18CD"/>
    <w:rsid w:val="00AC24DF"/>
    <w:rsid w:val="00AC50A1"/>
    <w:rsid w:val="00AC51BC"/>
    <w:rsid w:val="00AC59D5"/>
    <w:rsid w:val="00AC5AC6"/>
    <w:rsid w:val="00AC5F17"/>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prozorro.gov.ua/search/products?local_share=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0576-688A-4B74-B8FE-1FA2A329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15224</Words>
  <Characters>86781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15</cp:revision>
  <cp:lastPrinted>2022-12-22T13:28:00Z</cp:lastPrinted>
  <dcterms:created xsi:type="dcterms:W3CDTF">2022-12-22T13:26:00Z</dcterms:created>
  <dcterms:modified xsi:type="dcterms:W3CDTF">2022-12-22T13:42:00Z</dcterms:modified>
</cp:coreProperties>
</file>