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9930B" w14:textId="228D846A" w:rsidR="0017686D" w:rsidRPr="00226159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1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226159" w:rsidRPr="002261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</w:p>
    <w:p w14:paraId="311AFB11" w14:textId="77777777" w:rsidR="0017686D" w:rsidRPr="00226159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159">
        <w:rPr>
          <w:rFonts w:ascii="Times New Roman" w:hAnsi="Times New Roman" w:cs="Times New Roman"/>
          <w:b/>
          <w:sz w:val="24"/>
          <w:szCs w:val="24"/>
          <w:lang w:val="uk-UA"/>
        </w:rPr>
        <w:t>до тендерної документації</w:t>
      </w:r>
    </w:p>
    <w:p w14:paraId="731E8E7E" w14:textId="77777777" w:rsidR="0017686D" w:rsidRPr="000E647B" w:rsidRDefault="0017686D" w:rsidP="0017686D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764D7760" w14:textId="447AEF2C" w:rsidR="0017686D" w:rsidRPr="000E647B" w:rsidRDefault="0017686D" w:rsidP="0017686D">
      <w:pPr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</w:pPr>
      <w:bookmarkStart w:id="0" w:name="_GoBack"/>
      <w:bookmarkEnd w:id="0"/>
      <w:r w:rsidRPr="00CA46F9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szCs w:val="24"/>
          <w:lang w:val="uk-UA" w:eastAsia="en-US"/>
        </w:rPr>
        <w:t>ТЕХНІЧНА СПЕЦИФІКАЦІЯ (ТЕХНІЧНІ ВИМОГИ)</w:t>
      </w:r>
    </w:p>
    <w:p w14:paraId="14E9849B" w14:textId="77777777" w:rsidR="0017686D" w:rsidRPr="000E647B" w:rsidRDefault="0017686D" w:rsidP="0017686D">
      <w:pPr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</w:pPr>
      <w:r w:rsidRPr="000E647B">
        <w:rPr>
          <w:rFonts w:ascii="Times New Roman" w:eastAsia="Calibri" w:hAnsi="Times New Roman" w:cs="Times New Roman"/>
          <w:b/>
          <w:color w:val="auto"/>
          <w:sz w:val="20"/>
          <w:szCs w:val="20"/>
          <w:lang w:val="uk-UA" w:eastAsia="en-US"/>
        </w:rPr>
        <w:t>Інформація про необхідні технічні, якісні та кількісні характеристики предмета закупівлі</w:t>
      </w:r>
    </w:p>
    <w:p w14:paraId="5D90E2FB" w14:textId="77777777" w:rsidR="0017686D" w:rsidRPr="000E647B" w:rsidRDefault="0017686D" w:rsidP="0017686D">
      <w:pPr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14:paraId="0D4DA9AC" w14:textId="25939281" w:rsidR="00BF4424" w:rsidRDefault="0017686D" w:rsidP="0017686D">
      <w:pPr>
        <w:ind w:right="-1" w:firstLine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0E647B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>ДК 021:2015 -</w:t>
      </w:r>
      <w:r w:rsidR="00226159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>72260000-5-</w:t>
      </w:r>
      <w:r w:rsidRPr="000E647B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</w:t>
      </w:r>
      <w:r w:rsidR="00226159" w:rsidRPr="00226159">
        <w:rPr>
          <w:rFonts w:ascii="Times New Roman" w:eastAsiaTheme="minorHAnsi" w:hAnsi="Times New Roman" w:cs="Times New Roman"/>
          <w:b/>
          <w:i/>
          <w:color w:val="auto"/>
          <w:sz w:val="24"/>
          <w:szCs w:val="24"/>
          <w:lang w:val="uk-UA" w:eastAsia="en-US"/>
        </w:rPr>
        <w:t>Послуги, пов’язані з програмним забезпеченням</w:t>
      </w:r>
    </w:p>
    <w:p w14:paraId="1A60ABA0" w14:textId="3D555293" w:rsidR="0017686D" w:rsidRPr="00BF4424" w:rsidRDefault="0017686D" w:rsidP="0017686D">
      <w:pPr>
        <w:ind w:right="-1"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BF4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r w:rsidR="00685B77" w:rsidRPr="00BF4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Абонентське обслуговування та доопрацювання ліцензованого програмного забезпечення МІС "Доктор </w:t>
      </w:r>
      <w:proofErr w:type="spellStart"/>
      <w:r w:rsidR="00685B77" w:rsidRPr="00BF4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Елекс</w:t>
      </w:r>
      <w:proofErr w:type="spellEnd"/>
      <w:r w:rsidR="00685B77" w:rsidRPr="00BF4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"</w:t>
      </w:r>
      <w:r w:rsidRPr="00BF4424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)</w:t>
      </w:r>
    </w:p>
    <w:tbl>
      <w:tblPr>
        <w:tblW w:w="10200" w:type="dxa"/>
        <w:tblInd w:w="-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6600"/>
        <w:gridCol w:w="1365"/>
        <w:gridCol w:w="1515"/>
      </w:tblGrid>
      <w:tr w:rsidR="0017686D" w:rsidRPr="000E647B" w14:paraId="31256759" w14:textId="77777777" w:rsidTr="00872C71">
        <w:trPr>
          <w:trHeight w:val="961"/>
        </w:trPr>
        <w:tc>
          <w:tcPr>
            <w:tcW w:w="720" w:type="dxa"/>
            <w:vMerge w:val="restart"/>
            <w:vAlign w:val="center"/>
          </w:tcPr>
          <w:p w14:paraId="09A4D6F2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6600" w:type="dxa"/>
            <w:vMerge w:val="restart"/>
            <w:vAlign w:val="center"/>
          </w:tcPr>
          <w:p w14:paraId="13D6AFC6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Найменування</w:t>
            </w:r>
          </w:p>
        </w:tc>
        <w:tc>
          <w:tcPr>
            <w:tcW w:w="1365" w:type="dxa"/>
            <w:vMerge w:val="restart"/>
            <w:vAlign w:val="center"/>
          </w:tcPr>
          <w:p w14:paraId="2E21F8B3" w14:textId="020676A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0E647B">
              <w:rPr>
                <w:rFonts w:ascii="Times New Roman" w:hAnsi="Times New Roman"/>
                <w:b/>
                <w:lang w:val="uk-UA"/>
              </w:rPr>
              <w:t>Од.</w:t>
            </w:r>
            <w:r w:rsidR="00093731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 w:rsidRPr="000E647B">
              <w:rPr>
                <w:rFonts w:ascii="Times New Roman" w:hAnsi="Times New Roman"/>
                <w:b/>
                <w:lang w:val="uk-UA"/>
              </w:rPr>
              <w:t>вим</w:t>
            </w:r>
            <w:proofErr w:type="spellEnd"/>
            <w:r w:rsidRPr="000E647B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1515" w:type="dxa"/>
            <w:vMerge w:val="restart"/>
            <w:vAlign w:val="center"/>
          </w:tcPr>
          <w:p w14:paraId="684EC696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E64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17686D" w:rsidRPr="000E647B" w14:paraId="1D1E5DC7" w14:textId="77777777" w:rsidTr="00872C71">
        <w:trPr>
          <w:trHeight w:val="517"/>
        </w:trPr>
        <w:tc>
          <w:tcPr>
            <w:tcW w:w="720" w:type="dxa"/>
            <w:vMerge/>
            <w:vAlign w:val="center"/>
          </w:tcPr>
          <w:p w14:paraId="02FA88AB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600" w:type="dxa"/>
            <w:vMerge/>
            <w:vAlign w:val="center"/>
          </w:tcPr>
          <w:p w14:paraId="6059B899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65" w:type="dxa"/>
            <w:vMerge/>
            <w:vAlign w:val="center"/>
          </w:tcPr>
          <w:p w14:paraId="6D0BB36D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15" w:type="dxa"/>
            <w:vMerge/>
            <w:vAlign w:val="center"/>
          </w:tcPr>
          <w:p w14:paraId="74EF5860" w14:textId="77777777" w:rsidR="0017686D" w:rsidRPr="000E647B" w:rsidRDefault="0017686D" w:rsidP="00872C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7686D" w:rsidRPr="000E647B" w14:paraId="4DF61664" w14:textId="77777777" w:rsidTr="00872C71">
        <w:trPr>
          <w:trHeight w:val="195"/>
        </w:trPr>
        <w:tc>
          <w:tcPr>
            <w:tcW w:w="720" w:type="dxa"/>
          </w:tcPr>
          <w:p w14:paraId="31005B5C" w14:textId="77777777" w:rsidR="0017686D" w:rsidRPr="000E647B" w:rsidRDefault="0017686D" w:rsidP="00872C71">
            <w:pPr>
              <w:jc w:val="center"/>
              <w:rPr>
                <w:rFonts w:ascii="Times New Roman" w:hAnsi="Times New Roman"/>
                <w:lang w:val="uk-UA"/>
              </w:rPr>
            </w:pPr>
            <w:r w:rsidRPr="000E647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600" w:type="dxa"/>
          </w:tcPr>
          <w:p w14:paraId="75BD9782" w14:textId="510BEE92" w:rsidR="0017686D" w:rsidRPr="000E647B" w:rsidRDefault="00685B77" w:rsidP="00872C71">
            <w:pPr>
              <w:rPr>
                <w:rFonts w:ascii="Times New Roman" w:hAnsi="Times New Roman"/>
                <w:lang w:val="uk-UA"/>
              </w:rPr>
            </w:pPr>
            <w:r w:rsidRPr="00685B77">
              <w:rPr>
                <w:rFonts w:ascii="Times New Roman" w:hAnsi="Times New Roman"/>
                <w:lang w:val="uk-UA"/>
              </w:rPr>
              <w:t xml:space="preserve">Абонентське обслуговування та доопрацювання ліцензованого програмного забезпечення МІС "Доктор </w:t>
            </w:r>
            <w:proofErr w:type="spellStart"/>
            <w:r w:rsidRPr="00685B77">
              <w:rPr>
                <w:rFonts w:ascii="Times New Roman" w:hAnsi="Times New Roman"/>
                <w:lang w:val="uk-UA"/>
              </w:rPr>
              <w:t>Елекс</w:t>
            </w:r>
            <w:proofErr w:type="spellEnd"/>
            <w:r w:rsidRPr="00685B77">
              <w:rPr>
                <w:rFonts w:ascii="Times New Roman" w:hAnsi="Times New Roman"/>
                <w:lang w:val="uk-UA"/>
              </w:rPr>
              <w:t>"</w:t>
            </w:r>
          </w:p>
        </w:tc>
        <w:tc>
          <w:tcPr>
            <w:tcW w:w="1365" w:type="dxa"/>
          </w:tcPr>
          <w:p w14:paraId="056A542F" w14:textId="62E239ED" w:rsidR="0017686D" w:rsidRPr="000E647B" w:rsidRDefault="00093731" w:rsidP="00872C7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17686D" w:rsidRPr="000E647B">
              <w:rPr>
                <w:rFonts w:ascii="Times New Roman" w:hAnsi="Times New Roman"/>
                <w:lang w:val="uk-UA"/>
              </w:rPr>
              <w:t>ослуга</w:t>
            </w:r>
          </w:p>
        </w:tc>
        <w:tc>
          <w:tcPr>
            <w:tcW w:w="1515" w:type="dxa"/>
          </w:tcPr>
          <w:p w14:paraId="5B2C4F96" w14:textId="332FA4CA" w:rsidR="0017686D" w:rsidRPr="00B83F52" w:rsidRDefault="00072A8C" w:rsidP="00872C7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</w:tbl>
    <w:p w14:paraId="74C5DF8E" w14:textId="77777777" w:rsidR="0017686D" w:rsidRPr="00BF4424" w:rsidRDefault="0017686D" w:rsidP="0017686D">
      <w:pPr>
        <w:pStyle w:val="a5"/>
        <w:jc w:val="right"/>
        <w:rPr>
          <w:color w:val="000000"/>
          <w:sz w:val="22"/>
          <w:szCs w:val="22"/>
        </w:rPr>
      </w:pPr>
    </w:p>
    <w:p w14:paraId="04925701" w14:textId="77777777" w:rsidR="0017686D" w:rsidRPr="00226159" w:rsidRDefault="0017686D" w:rsidP="0017686D">
      <w:pPr>
        <w:tabs>
          <w:tab w:val="left" w:pos="568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15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Виконавець </w:t>
      </w:r>
      <w:r w:rsidRPr="00226159">
        <w:rPr>
          <w:rFonts w:ascii="Times New Roman" w:hAnsi="Times New Roman" w:cs="Times New Roman"/>
          <w:sz w:val="24"/>
          <w:szCs w:val="24"/>
          <w:lang w:val="uk-UA"/>
        </w:rPr>
        <w:t xml:space="preserve">зобов’язується здійснювати Абонентське обслуговування відповідно до запитів Замовника, а саме: </w:t>
      </w:r>
    </w:p>
    <w:p w14:paraId="7D2086AB" w14:textId="611F95A5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226159">
        <w:rPr>
          <w:sz w:val="24"/>
          <w:szCs w:val="24"/>
        </w:rPr>
        <w:t>Забезпечувати працездатність Програмного забезпечення Замовника</w:t>
      </w:r>
      <w:r w:rsidR="00771C64" w:rsidRPr="00226159">
        <w:rPr>
          <w:sz w:val="24"/>
          <w:szCs w:val="24"/>
        </w:rPr>
        <w:t xml:space="preserve"> в тому числі його Оновлення</w:t>
      </w:r>
      <w:r w:rsidRPr="00226159">
        <w:rPr>
          <w:sz w:val="24"/>
          <w:szCs w:val="24"/>
        </w:rPr>
        <w:t>;</w:t>
      </w:r>
    </w:p>
    <w:p w14:paraId="63DB4EFF" w14:textId="0E5D4D77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226159">
        <w:rPr>
          <w:sz w:val="24"/>
          <w:szCs w:val="24"/>
        </w:rPr>
        <w:t>Здійснювати інформаційну підтримку персоналу Замовника безпосередньо на робочих місцях Замовника;</w:t>
      </w:r>
    </w:p>
    <w:p w14:paraId="6F7276A8" w14:textId="1792C510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226159">
        <w:rPr>
          <w:sz w:val="24"/>
          <w:szCs w:val="24"/>
        </w:rPr>
        <w:t>Створювати та редагувати профілі користувачів Програмного забезпечення, а також редагувати права доступу користувачів до інформації;</w:t>
      </w:r>
    </w:p>
    <w:p w14:paraId="153F0C10" w14:textId="04BE58A8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226159">
        <w:rPr>
          <w:sz w:val="24"/>
          <w:szCs w:val="24"/>
        </w:rPr>
        <w:t>Надавати послуги з розробки та редагування шаблонів документів та звітів у Програмному забезпеченні;</w:t>
      </w:r>
    </w:p>
    <w:p w14:paraId="2EBE6D33" w14:textId="05B8E979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sz w:val="24"/>
          <w:szCs w:val="24"/>
        </w:rPr>
      </w:pPr>
      <w:r w:rsidRPr="00226159">
        <w:rPr>
          <w:sz w:val="24"/>
          <w:szCs w:val="24"/>
        </w:rPr>
        <w:t>Надавати послуги з редагування переліку та вартості послуг і тарифних планів Замовника</w:t>
      </w:r>
      <w:r w:rsidR="009657BE">
        <w:rPr>
          <w:sz w:val="24"/>
          <w:szCs w:val="24"/>
        </w:rPr>
        <w:t>,</w:t>
      </w:r>
      <w:r w:rsidRPr="00226159">
        <w:rPr>
          <w:sz w:val="24"/>
          <w:szCs w:val="24"/>
        </w:rPr>
        <w:t xml:space="preserve"> виконання робіт щодо редагування переліку та вартості послуг і тарифних планів Замовника;</w:t>
      </w:r>
    </w:p>
    <w:p w14:paraId="5A6FF785" w14:textId="674445E6" w:rsidR="0017686D" w:rsidRPr="00226159" w:rsidRDefault="0017686D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226159">
        <w:rPr>
          <w:sz w:val="24"/>
          <w:szCs w:val="24"/>
        </w:rPr>
        <w:t>Виконувати Доопрацювання Програмного забезпечення, у разі необхідності</w:t>
      </w:r>
      <w:r w:rsidR="00B63D80" w:rsidRPr="00226159">
        <w:rPr>
          <w:sz w:val="24"/>
          <w:szCs w:val="24"/>
        </w:rPr>
        <w:t>;</w:t>
      </w:r>
    </w:p>
    <w:p w14:paraId="413A6C5C" w14:textId="734C3D24" w:rsidR="00D05D27" w:rsidRPr="00226159" w:rsidRDefault="00D05D27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226159">
        <w:rPr>
          <w:sz w:val="24"/>
          <w:szCs w:val="24"/>
        </w:rPr>
        <w:t>Виконувати резервне копіювання інформації та її відновлення в разі необхідності;</w:t>
      </w:r>
    </w:p>
    <w:p w14:paraId="115BC6FE" w14:textId="01B4C5CB" w:rsidR="0017686D" w:rsidRPr="00226159" w:rsidRDefault="00B63D80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226159">
        <w:rPr>
          <w:rFonts w:eastAsiaTheme="minorHAnsi"/>
          <w:kern w:val="1"/>
          <w:sz w:val="24"/>
          <w:szCs w:val="24"/>
        </w:rPr>
        <w:t>Здійснювати навчання персоналу Замовника за його запитом</w:t>
      </w:r>
      <w:r w:rsidR="00B823F6" w:rsidRPr="00226159">
        <w:rPr>
          <w:rFonts w:eastAsiaTheme="minorHAnsi"/>
          <w:kern w:val="1"/>
          <w:sz w:val="24"/>
          <w:szCs w:val="24"/>
        </w:rPr>
        <w:t>;</w:t>
      </w:r>
    </w:p>
    <w:p w14:paraId="1952B9EE" w14:textId="77777777" w:rsidR="00771C64" w:rsidRPr="00226159" w:rsidRDefault="00771C64" w:rsidP="0017686D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226159">
        <w:rPr>
          <w:bCs/>
          <w:sz w:val="24"/>
          <w:szCs w:val="24"/>
        </w:rPr>
        <w:t>Обробка запитів щодо роботи з системою;</w:t>
      </w:r>
    </w:p>
    <w:p w14:paraId="443D1646" w14:textId="77777777" w:rsidR="00771C64" w:rsidRPr="00226159" w:rsidRDefault="00771C64" w:rsidP="00040101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226159">
        <w:rPr>
          <w:bCs/>
          <w:sz w:val="24"/>
          <w:szCs w:val="24"/>
        </w:rPr>
        <w:t xml:space="preserve">Консультації щодо </w:t>
      </w:r>
      <w:proofErr w:type="spellStart"/>
      <w:r w:rsidRPr="00226159">
        <w:rPr>
          <w:bCs/>
          <w:sz w:val="24"/>
          <w:szCs w:val="24"/>
        </w:rPr>
        <w:t>eHealth</w:t>
      </w:r>
      <w:proofErr w:type="spellEnd"/>
      <w:r w:rsidRPr="00226159">
        <w:rPr>
          <w:bCs/>
          <w:sz w:val="24"/>
          <w:szCs w:val="24"/>
        </w:rPr>
        <w:t>.;</w:t>
      </w:r>
    </w:p>
    <w:p w14:paraId="74DB5502" w14:textId="2C086FD5" w:rsidR="0095574E" w:rsidRPr="00A273EF" w:rsidRDefault="00E52E86" w:rsidP="00CD6EF4">
      <w:pPr>
        <w:pStyle w:val="a3"/>
        <w:numPr>
          <w:ilvl w:val="3"/>
          <w:numId w:val="1"/>
        </w:numPr>
        <w:spacing w:line="240" w:lineRule="auto"/>
        <w:jc w:val="both"/>
        <w:rPr>
          <w:bCs/>
          <w:sz w:val="24"/>
          <w:szCs w:val="24"/>
        </w:rPr>
      </w:pPr>
      <w:r w:rsidRPr="00E52E86">
        <w:rPr>
          <w:bCs/>
          <w:sz w:val="24"/>
          <w:szCs w:val="24"/>
        </w:rPr>
        <w:t xml:space="preserve">Обов’язкова </w:t>
      </w:r>
      <w:r>
        <w:rPr>
          <w:bCs/>
          <w:sz w:val="24"/>
          <w:szCs w:val="24"/>
        </w:rPr>
        <w:t>н</w:t>
      </w:r>
      <w:r w:rsidR="00B823F6" w:rsidRPr="00A273EF">
        <w:rPr>
          <w:bCs/>
          <w:sz w:val="24"/>
          <w:szCs w:val="24"/>
        </w:rPr>
        <w:t xml:space="preserve">аявність листа-гарантії від розробника програмного забезпечення МІС «Доктор </w:t>
      </w:r>
      <w:proofErr w:type="spellStart"/>
      <w:r w:rsidR="00B823F6" w:rsidRPr="00A273EF">
        <w:rPr>
          <w:bCs/>
          <w:sz w:val="24"/>
          <w:szCs w:val="24"/>
        </w:rPr>
        <w:t>Елекс</w:t>
      </w:r>
      <w:proofErr w:type="spellEnd"/>
      <w:r w:rsidR="00B823F6" w:rsidRPr="00A273EF">
        <w:rPr>
          <w:bCs/>
          <w:sz w:val="24"/>
          <w:szCs w:val="24"/>
        </w:rPr>
        <w:t xml:space="preserve">» </w:t>
      </w:r>
      <w:r w:rsidR="00771C64" w:rsidRPr="00A273EF">
        <w:rPr>
          <w:bCs/>
          <w:sz w:val="24"/>
          <w:szCs w:val="24"/>
        </w:rPr>
        <w:t>і</w:t>
      </w:r>
      <w:r w:rsidR="00B823F6" w:rsidRPr="00A273EF">
        <w:rPr>
          <w:bCs/>
          <w:sz w:val="24"/>
          <w:szCs w:val="24"/>
        </w:rPr>
        <w:t>з підтвердженням рівня кваліфікації Виконавця достатнього для якісного та повноцінного надання послуг із «</w:t>
      </w:r>
      <w:r w:rsidR="00771C64" w:rsidRPr="00A273EF">
        <w:rPr>
          <w:bCs/>
          <w:sz w:val="24"/>
          <w:szCs w:val="24"/>
        </w:rPr>
        <w:t xml:space="preserve">Абонентського обслуговування та доопрацювання ліцензованого програмного забезпечення МІС "Доктор </w:t>
      </w:r>
      <w:proofErr w:type="spellStart"/>
      <w:r w:rsidR="00771C64" w:rsidRPr="00A273EF">
        <w:rPr>
          <w:bCs/>
          <w:sz w:val="24"/>
          <w:szCs w:val="24"/>
        </w:rPr>
        <w:t>Елекс</w:t>
      </w:r>
      <w:proofErr w:type="spellEnd"/>
      <w:r w:rsidR="00771C64" w:rsidRPr="00A273EF">
        <w:rPr>
          <w:bCs/>
          <w:sz w:val="24"/>
          <w:szCs w:val="24"/>
        </w:rPr>
        <w:t>"</w:t>
      </w:r>
      <w:r w:rsidR="00B823F6" w:rsidRPr="00A273EF">
        <w:rPr>
          <w:bCs/>
          <w:sz w:val="24"/>
          <w:szCs w:val="24"/>
        </w:rPr>
        <w:t>» із зазначенням номеру закупівлі.</w:t>
      </w:r>
    </w:p>
    <w:p w14:paraId="3B3D4F80" w14:textId="40720851" w:rsidR="00A273EF" w:rsidRPr="009657BE" w:rsidRDefault="00A273EF" w:rsidP="00A273EF">
      <w:pPr>
        <w:spacing w:line="240" w:lineRule="auto"/>
        <w:jc w:val="both"/>
        <w:rPr>
          <w:bCs/>
          <w:sz w:val="24"/>
          <w:szCs w:val="24"/>
          <w:highlight w:val="yellow"/>
          <w:lang w:val="uk-UA"/>
        </w:rPr>
      </w:pPr>
    </w:p>
    <w:p w14:paraId="71B5DDB2" w14:textId="6906E06F" w:rsidR="00A273EF" w:rsidRPr="009657BE" w:rsidRDefault="00A273EF" w:rsidP="00A273EF">
      <w:pPr>
        <w:spacing w:line="240" w:lineRule="auto"/>
        <w:jc w:val="both"/>
        <w:rPr>
          <w:bCs/>
          <w:sz w:val="24"/>
          <w:szCs w:val="24"/>
          <w:highlight w:val="yellow"/>
          <w:lang w:val="uk-UA"/>
        </w:rPr>
      </w:pPr>
    </w:p>
    <w:p w14:paraId="47DCFC62" w14:textId="03CB1153" w:rsidR="00A273EF" w:rsidRPr="009657BE" w:rsidRDefault="00A273EF" w:rsidP="00A273EF">
      <w:pPr>
        <w:spacing w:line="240" w:lineRule="auto"/>
        <w:jc w:val="both"/>
        <w:rPr>
          <w:bCs/>
          <w:sz w:val="24"/>
          <w:szCs w:val="24"/>
          <w:highlight w:val="yellow"/>
          <w:lang w:val="uk-UA"/>
        </w:rPr>
      </w:pPr>
    </w:p>
    <w:p w14:paraId="206448D6" w14:textId="77777777" w:rsidR="00A273EF" w:rsidRPr="009657BE" w:rsidRDefault="00A273EF" w:rsidP="00A273EF">
      <w:pPr>
        <w:spacing w:line="240" w:lineRule="auto"/>
        <w:jc w:val="both"/>
        <w:rPr>
          <w:bCs/>
          <w:sz w:val="24"/>
          <w:szCs w:val="24"/>
          <w:highlight w:val="yellow"/>
          <w:lang w:val="uk-UA"/>
        </w:rPr>
      </w:pPr>
    </w:p>
    <w:sectPr w:rsidR="00A273EF" w:rsidRPr="009657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00794"/>
    <w:multiLevelType w:val="multilevel"/>
    <w:tmpl w:val="FE92C096"/>
    <w:lvl w:ilvl="0">
      <w:start w:val="1"/>
      <w:numFmt w:val="decimal"/>
      <w:lvlText w:val="%1."/>
      <w:lvlJc w:val="left"/>
      <w:pPr>
        <w:ind w:left="4471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Calibri"/>
        <w:b w:val="0"/>
        <w:i w:val="0"/>
        <w:color w:val="auto"/>
        <w:sz w:val="22"/>
        <w:szCs w:val="22"/>
        <w:lang w:val="uk-U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Times New Roman" w:eastAsia="Arial" w:hAnsi="Times New Roman" w:cs="Times New Roman" w:hint="default"/>
        <w:b/>
        <w:bCs/>
        <w:sz w:val="22"/>
        <w:szCs w:val="22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86D"/>
    <w:rsid w:val="00072A8C"/>
    <w:rsid w:val="00093731"/>
    <w:rsid w:val="000E647B"/>
    <w:rsid w:val="001129FF"/>
    <w:rsid w:val="0017686D"/>
    <w:rsid w:val="00204499"/>
    <w:rsid w:val="00226159"/>
    <w:rsid w:val="00323BCD"/>
    <w:rsid w:val="00344261"/>
    <w:rsid w:val="004E4875"/>
    <w:rsid w:val="00685B77"/>
    <w:rsid w:val="006D313D"/>
    <w:rsid w:val="007123BC"/>
    <w:rsid w:val="007434FA"/>
    <w:rsid w:val="00771C64"/>
    <w:rsid w:val="007C15B3"/>
    <w:rsid w:val="00936131"/>
    <w:rsid w:val="00936CD9"/>
    <w:rsid w:val="009657BE"/>
    <w:rsid w:val="009C7AF6"/>
    <w:rsid w:val="009E1D0C"/>
    <w:rsid w:val="00A03B5A"/>
    <w:rsid w:val="00A273EF"/>
    <w:rsid w:val="00AD26B0"/>
    <w:rsid w:val="00AF4AE5"/>
    <w:rsid w:val="00B63D80"/>
    <w:rsid w:val="00B823F6"/>
    <w:rsid w:val="00B83F52"/>
    <w:rsid w:val="00BD793C"/>
    <w:rsid w:val="00BF4424"/>
    <w:rsid w:val="00C14E79"/>
    <w:rsid w:val="00CA46F9"/>
    <w:rsid w:val="00CD6EF4"/>
    <w:rsid w:val="00CE729A"/>
    <w:rsid w:val="00D05B3C"/>
    <w:rsid w:val="00D05D27"/>
    <w:rsid w:val="00D64497"/>
    <w:rsid w:val="00DD12C9"/>
    <w:rsid w:val="00E007DF"/>
    <w:rsid w:val="00E52E86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8E2A9"/>
  <w15:chartTrackingRefBased/>
  <w15:docId w15:val="{22EBF7D3-C6D8-46DB-9481-167B532F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86D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Список уровня 2,название табл/рис"/>
    <w:basedOn w:val="a"/>
    <w:link w:val="a4"/>
    <w:uiPriority w:val="34"/>
    <w:qFormat/>
    <w:rsid w:val="0017686D"/>
    <w:pPr>
      <w:widowControl w:val="0"/>
      <w:suppressAutoHyphens/>
      <w:ind w:left="720" w:firstLine="28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val="uk-UA" w:eastAsia="zh-CN" w:bidi="hi-IN"/>
    </w:rPr>
  </w:style>
  <w:style w:type="paragraph" w:styleId="a5">
    <w:name w:val="No Spacing"/>
    <w:basedOn w:val="a"/>
    <w:link w:val="a6"/>
    <w:uiPriority w:val="99"/>
    <w:qFormat/>
    <w:rsid w:val="0017686D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6">
    <w:name w:val="Без интервала Знак"/>
    <w:link w:val="a5"/>
    <w:uiPriority w:val="99"/>
    <w:rsid w:val="00176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Chapter10 Знак,Список уровня 2 Знак,название табл/рис Знак"/>
    <w:link w:val="a3"/>
    <w:uiPriority w:val="34"/>
    <w:locked/>
    <w:rsid w:val="0017686D"/>
    <w:rPr>
      <w:rFonts w:ascii="Times New Roman" w:eastAsia="Times New Roman" w:hAnsi="Times New Roman" w:cs="Times New Roman"/>
      <w:color w:val="00000A"/>
      <w:sz w:val="20"/>
      <w:szCs w:val="20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685B77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85B7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ZAK2</dc:creator>
  <cp:keywords/>
  <dc:description/>
  <cp:lastModifiedBy>1</cp:lastModifiedBy>
  <cp:revision>11</cp:revision>
  <dcterms:created xsi:type="dcterms:W3CDTF">2024-03-01T10:05:00Z</dcterms:created>
  <dcterms:modified xsi:type="dcterms:W3CDTF">2024-03-07T07:45:00Z</dcterms:modified>
</cp:coreProperties>
</file>