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A608" w14:textId="77777777" w:rsidR="00D02A4D" w:rsidRPr="006E489F" w:rsidRDefault="00D02A4D" w:rsidP="005930D6">
      <w:pPr>
        <w:pStyle w:val="a9"/>
        <w:rPr>
          <w:color w:val="auto"/>
        </w:rPr>
      </w:pPr>
      <w:r w:rsidRPr="006E489F">
        <w:rPr>
          <w:color w:val="auto"/>
        </w:rPr>
        <w:t>«ЗАТВЕРДЖЕНО»</w:t>
      </w:r>
    </w:p>
    <w:p w14:paraId="627E744C" w14:textId="77777777" w:rsidR="00D02A4D" w:rsidRPr="006E489F" w:rsidRDefault="00D02A4D" w:rsidP="005930D6">
      <w:pPr>
        <w:pStyle w:val="a9"/>
        <w:rPr>
          <w:color w:val="auto"/>
        </w:rPr>
      </w:pPr>
      <w:r w:rsidRPr="006E489F">
        <w:rPr>
          <w:color w:val="auto"/>
        </w:rPr>
        <w:t xml:space="preserve">  Протоколом уповноваженої особи АТ «</w:t>
      </w:r>
      <w:proofErr w:type="spellStart"/>
      <w:r w:rsidRPr="006E489F">
        <w:rPr>
          <w:color w:val="auto"/>
        </w:rPr>
        <w:t>Лубнигаз</w:t>
      </w:r>
      <w:proofErr w:type="spellEnd"/>
      <w:r w:rsidRPr="006E489F">
        <w:rPr>
          <w:color w:val="auto"/>
        </w:rPr>
        <w:t>»</w:t>
      </w:r>
    </w:p>
    <w:p w14:paraId="031CEA9F" w14:textId="24822B2E" w:rsidR="005619CF" w:rsidRPr="006E489F" w:rsidRDefault="00F97043" w:rsidP="005930D6">
      <w:pPr>
        <w:pStyle w:val="a9"/>
        <w:rPr>
          <w:color w:val="auto"/>
        </w:rPr>
      </w:pPr>
      <w:r w:rsidRPr="006E489F">
        <w:rPr>
          <w:color w:val="auto"/>
        </w:rPr>
        <w:t>від «</w:t>
      </w:r>
      <w:r w:rsidR="003E2618">
        <w:rPr>
          <w:color w:val="auto"/>
        </w:rPr>
        <w:t xml:space="preserve">  11</w:t>
      </w:r>
      <w:r w:rsidR="006E489F">
        <w:rPr>
          <w:color w:val="auto"/>
        </w:rPr>
        <w:t xml:space="preserve">  </w:t>
      </w:r>
      <w:r w:rsidR="00D02A4D" w:rsidRPr="006E489F">
        <w:rPr>
          <w:color w:val="auto"/>
        </w:rPr>
        <w:t xml:space="preserve">» </w:t>
      </w:r>
      <w:r w:rsidR="003E2618">
        <w:rPr>
          <w:color w:val="auto"/>
        </w:rPr>
        <w:t>жовтня</w:t>
      </w:r>
      <w:r w:rsidR="006E489F" w:rsidRPr="006E489F">
        <w:rPr>
          <w:color w:val="auto"/>
        </w:rPr>
        <w:t xml:space="preserve"> </w:t>
      </w:r>
      <w:r w:rsidR="00D02A4D" w:rsidRPr="006E489F">
        <w:rPr>
          <w:color w:val="auto"/>
        </w:rPr>
        <w:t>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bookmarkStart w:id="0" w:name="_GoBack"/>
            <w:bookmarkEnd w:id="0"/>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8F6166"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220C9774" w:rsidR="00600CB8" w:rsidRPr="00B56E6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B56E6E">
              <w:rPr>
                <w:rFonts w:ascii="Times New Roman" w:hAnsi="Times New Roman"/>
                <w:color w:val="000000"/>
                <w:lang w:val="uk-UA"/>
              </w:rPr>
              <w:t xml:space="preserve"> </w:t>
            </w:r>
            <w:r w:rsidR="00C03D41" w:rsidRPr="00B56E6E">
              <w:rPr>
                <w:rFonts w:ascii="Times New Roman" w:hAnsi="Times New Roman"/>
                <w:color w:val="000000"/>
                <w:lang w:val="uk-UA"/>
              </w:rPr>
              <w:t xml:space="preserve"> </w:t>
            </w:r>
            <w:r w:rsidR="00694F06" w:rsidRPr="00694F06">
              <w:rPr>
                <w:rFonts w:ascii="Times New Roman" w:hAnsi="Times New Roman"/>
                <w:color w:val="000000"/>
                <w:lang w:val="uk-UA"/>
              </w:rPr>
              <w:t>44310000-6 – Вироби з дроту</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6480597A" w14:textId="77777777" w:rsidR="001B7E73" w:rsidRDefault="00F97043" w:rsidP="00B56E6E">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w:t>
            </w:r>
          </w:p>
          <w:p w14:paraId="263939A1" w14:textId="191DBBD3" w:rsidR="0085546E" w:rsidRPr="006E489F" w:rsidRDefault="006E489F" w:rsidP="0085546E">
            <w:pPr>
              <w:widowControl w:val="0"/>
              <w:autoSpaceDE w:val="0"/>
              <w:autoSpaceDN w:val="0"/>
              <w:spacing w:after="0" w:line="240" w:lineRule="auto"/>
              <w:rPr>
                <w:rFonts w:ascii="Times New Roman" w:hAnsi="Times New Roman"/>
                <w:bCs/>
                <w:lang w:val="uk-UA"/>
              </w:rPr>
            </w:pPr>
            <w:r w:rsidRPr="006E489F">
              <w:rPr>
                <w:rFonts w:ascii="Times New Roman" w:hAnsi="Times New Roman"/>
                <w:bCs/>
                <w:lang w:val="uk-UA"/>
              </w:rPr>
              <w:t>Зварювальний дріт СВ-08 А</w:t>
            </w:r>
            <w:r w:rsidR="00D762D5" w:rsidRPr="006E489F">
              <w:rPr>
                <w:rFonts w:ascii="Times New Roman" w:hAnsi="Times New Roman"/>
                <w:bCs/>
                <w:lang w:val="uk-UA"/>
              </w:rPr>
              <w:t xml:space="preserve">  300 кг</w:t>
            </w:r>
          </w:p>
          <w:p w14:paraId="207DD2EF" w14:textId="77777777" w:rsidR="00D762D5" w:rsidRDefault="00D762D5" w:rsidP="0085546E">
            <w:pPr>
              <w:widowControl w:val="0"/>
              <w:autoSpaceDE w:val="0"/>
              <w:autoSpaceDN w:val="0"/>
              <w:spacing w:after="0" w:line="240" w:lineRule="auto"/>
              <w:rPr>
                <w:rFonts w:ascii="Times New Roman" w:hAnsi="Times New Roman"/>
                <w:bCs/>
                <w:lang w:val="uk-UA"/>
              </w:rPr>
            </w:pPr>
          </w:p>
          <w:p w14:paraId="7740A7B3" w14:textId="7C124136" w:rsidR="00A03644" w:rsidRPr="0085546E" w:rsidRDefault="0085546E" w:rsidP="0085546E">
            <w:pPr>
              <w:widowControl w:val="0"/>
              <w:autoSpaceDE w:val="0"/>
              <w:autoSpaceDN w:val="0"/>
              <w:spacing w:after="0" w:line="360" w:lineRule="auto"/>
              <w:rPr>
                <w:rFonts w:ascii="Times New Roman" w:hAnsi="Times New Roman"/>
                <w:bCs/>
                <w:lang w:val="uk-UA"/>
              </w:rPr>
            </w:pPr>
            <w:r w:rsidRPr="0085546E">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694F06"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69A4E4D8" w:rsidR="00600CB8" w:rsidRPr="006A0C40" w:rsidRDefault="006E489F" w:rsidP="006E489F">
            <w:pPr>
              <w:tabs>
                <w:tab w:val="left" w:pos="6033"/>
              </w:tabs>
              <w:spacing w:before="120" w:after="120" w:line="240" w:lineRule="auto"/>
              <w:ind w:left="57" w:right="57"/>
              <w:jc w:val="both"/>
              <w:textAlignment w:val="baseline"/>
              <w:rPr>
                <w:rFonts w:ascii="Times New Roman" w:hAnsi="Times New Roman"/>
                <w:lang w:val="uk-UA" w:eastAsia="ru-RU"/>
              </w:rPr>
            </w:pPr>
            <w:r w:rsidRPr="006E489F">
              <w:rPr>
                <w:rFonts w:ascii="Times New Roman" w:hAnsi="Times New Roman"/>
                <w:bCs/>
                <w:lang w:val="uk-UA"/>
              </w:rPr>
              <w:t>16 140</w:t>
            </w:r>
            <w:r w:rsidR="00DF5EA6" w:rsidRPr="006E489F">
              <w:rPr>
                <w:rFonts w:ascii="Times New Roman" w:hAnsi="Times New Roman"/>
                <w:bCs/>
                <w:lang w:val="uk-UA"/>
              </w:rPr>
              <w:t xml:space="preserve"> грн. (</w:t>
            </w:r>
            <w:r w:rsidRPr="006E489F">
              <w:rPr>
                <w:rFonts w:ascii="Times New Roman" w:hAnsi="Times New Roman"/>
                <w:bCs/>
                <w:lang w:val="uk-UA"/>
              </w:rPr>
              <w:t>шістнадцять тисяч сто сорок грн.</w:t>
            </w:r>
            <w:r w:rsidR="00DF5EA6" w:rsidRPr="006E489F">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55FE56C" w:rsidR="00600CB8" w:rsidRPr="006A0C40" w:rsidRDefault="00A50217"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56E6E">
              <w:rPr>
                <w:rFonts w:ascii="Times New Roman" w:hAnsi="Times New Roman"/>
                <w:lang w:val="uk-UA" w:eastAsia="ru-RU"/>
              </w:rPr>
              <w:t>531</w:t>
            </w:r>
            <w:r w:rsidR="0041688F" w:rsidRPr="0041688F">
              <w:rPr>
                <w:rFonts w:ascii="Times New Roman" w:hAnsi="Times New Roman"/>
                <w:lang w:val="uk-UA" w:eastAsia="ru-RU"/>
              </w:rPr>
              <w:t>,</w:t>
            </w:r>
            <w:r w:rsidR="00B56E6E">
              <w:rPr>
                <w:rFonts w:ascii="Times New Roman" w:hAnsi="Times New Roman"/>
                <w:lang w:val="uk-UA" w:eastAsia="ru-RU"/>
              </w:rPr>
              <w:t>65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3E2618"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3E2618"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8F6166">
              <w:fldChar w:fldCharType="begin"/>
            </w:r>
            <w:r w:rsidR="008F6166" w:rsidRPr="008F6166">
              <w:rPr>
                <w:lang w:val="uk-UA"/>
              </w:rPr>
              <w:instrText xml:space="preserve"> </w:instrText>
            </w:r>
            <w:r w:rsidR="008F6166">
              <w:instrText>HYPERLINK</w:instrText>
            </w:r>
            <w:r w:rsidR="008F6166" w:rsidRPr="008F6166">
              <w:rPr>
                <w:lang w:val="uk-UA"/>
              </w:rPr>
              <w:instrText xml:space="preserve"> "</w:instrText>
            </w:r>
            <w:r w:rsidR="008F6166">
              <w:instrText>https</w:instrText>
            </w:r>
            <w:r w:rsidR="008F6166" w:rsidRPr="008F6166">
              <w:rPr>
                <w:lang w:val="uk-UA"/>
              </w:rPr>
              <w:instrText>://</w:instrText>
            </w:r>
            <w:r w:rsidR="008F6166">
              <w:instrText>ru</w:instrText>
            </w:r>
            <w:r w:rsidR="008F6166" w:rsidRPr="008F6166">
              <w:rPr>
                <w:lang w:val="uk-UA"/>
              </w:rPr>
              <w:instrText>.</w:instrText>
            </w:r>
            <w:r w:rsidR="008F6166">
              <w:instrText>wikipedia</w:instrText>
            </w:r>
            <w:r w:rsidR="008F6166" w:rsidRPr="008F6166">
              <w:rPr>
                <w:lang w:val="uk-UA"/>
              </w:rPr>
              <w:instrText>.</w:instrText>
            </w:r>
            <w:r w:rsidR="008F6166">
              <w:instrText>org</w:instrText>
            </w:r>
            <w:r w:rsidR="008F6166" w:rsidRPr="008F6166">
              <w:rPr>
                <w:lang w:val="uk-UA"/>
              </w:rPr>
              <w:instrText>/</w:instrText>
            </w:r>
            <w:r w:rsidR="008F6166">
              <w:instrText>wiki</w:instrText>
            </w:r>
            <w:r w:rsidR="008F6166" w:rsidRPr="008F6166">
              <w:rPr>
                <w:lang w:val="uk-UA"/>
              </w:rPr>
              <w:instrText>/</w:instrText>
            </w:r>
            <w:r w:rsidR="008F6166">
              <w:instrText>Portable</w:instrText>
            </w:r>
            <w:r w:rsidR="008F6166" w:rsidRPr="008F6166">
              <w:rPr>
                <w:lang w:val="uk-UA"/>
              </w:rPr>
              <w:instrText>_</w:instrText>
            </w:r>
            <w:r w:rsidR="008F6166">
              <w:instrText>Document</w:instrText>
            </w:r>
            <w:r w:rsidR="008F6166" w:rsidRPr="008F6166">
              <w:rPr>
                <w:lang w:val="uk-UA"/>
              </w:rPr>
              <w:instrText>_</w:instrText>
            </w:r>
            <w:r w:rsidR="008F6166">
              <w:instrText>Format</w:instrText>
            </w:r>
            <w:r w:rsidR="008F6166" w:rsidRPr="008F6166">
              <w:rPr>
                <w:lang w:val="uk-UA"/>
              </w:rPr>
              <w:instrText xml:space="preserve">" </w:instrText>
            </w:r>
            <w:r w:rsidR="008F6166">
              <w:fldChar w:fldCharType="separate"/>
            </w:r>
            <w:r w:rsidRPr="006A0C40">
              <w:rPr>
                <w:rFonts w:ascii="Times New Roman" w:eastAsia="Arial" w:hAnsi="Times New Roman"/>
                <w:lang w:val="uk-UA" w:eastAsia="ru-RU"/>
              </w:rPr>
              <w:t>PortableDocumentFormat</w:t>
            </w:r>
            <w:proofErr w:type="spellEnd"/>
            <w:r w:rsidR="008F6166">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w:t>
            </w:r>
            <w:r w:rsidRPr="006A0C40">
              <w:rPr>
                <w:rFonts w:ascii="Times New Roman" w:eastAsia="Arial" w:hAnsi="Times New Roman"/>
                <w:lang w:val="uk-UA" w:eastAsia="ru-RU"/>
              </w:rPr>
              <w:lastRenderedPageBreak/>
              <w:t>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3E2618"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lastRenderedPageBreak/>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скан-копій</w:t>
            </w:r>
            <w:proofErr w:type="spellEnd"/>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7"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3. На вимогу Замовника Учасник, який перебуває у статусі </w:t>
            </w:r>
            <w:r w:rsidRPr="006A0C40">
              <w:rPr>
                <w:rFonts w:ascii="Times New Roman" w:hAnsi="Times New Roman"/>
                <w:lang w:val="uk-UA"/>
              </w:rPr>
              <w:lastRenderedPageBreak/>
              <w:t>«Кваліфікація»,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w:t>
            </w:r>
            <w:r w:rsidRPr="006A0C40">
              <w:rPr>
                <w:rFonts w:ascii="Times New Roman" w:hAnsi="Times New Roman"/>
                <w:color w:val="000000"/>
                <w:lang w:val="uk-UA" w:eastAsia="uk-UA"/>
              </w:rPr>
              <w:lastRenderedPageBreak/>
              <w:t>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8"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lastRenderedPageBreak/>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w:t>
            </w:r>
            <w:proofErr w:type="gramStart"/>
            <w:r w:rsidRPr="006A0C40">
              <w:rPr>
                <w:color w:val="000000"/>
                <w:sz w:val="22"/>
                <w:szCs w:val="22"/>
              </w:rPr>
              <w:t>р</w:t>
            </w:r>
            <w:proofErr w:type="spellEnd"/>
            <w:proofErr w:type="gram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8F6166">
              <w:fldChar w:fldCharType="begin"/>
            </w:r>
            <w:r w:rsidR="008F6166">
              <w:instrText xml:space="preserve"> HYPERLINK "https://zakon.rada.gov.ua/laws/show/922-19" \l "n1760" </w:instrText>
            </w:r>
            <w:r w:rsidR="008F6166">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8F6166">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8F6166">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lastRenderedPageBreak/>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w:t>
            </w:r>
            <w:proofErr w:type="gramStart"/>
            <w:r w:rsidRPr="006A0C40">
              <w:rPr>
                <w:color w:val="000000"/>
                <w:sz w:val="22"/>
                <w:szCs w:val="22"/>
              </w:rPr>
              <w:t>вл</w:t>
            </w:r>
            <w:proofErr w:type="gramEnd"/>
            <w:r w:rsidRPr="006A0C40">
              <w:rPr>
                <w:color w:val="000000"/>
                <w:sz w:val="22"/>
                <w:szCs w:val="22"/>
              </w:rPr>
              <w:t>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8F6166">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5EC8116" w14:textId="59CBF50E" w:rsidR="00DF5EA6" w:rsidRDefault="00DF5EA6" w:rsidP="00DF5EA6">
      <w:pPr>
        <w:tabs>
          <w:tab w:val="left" w:pos="-4395"/>
        </w:tabs>
        <w:jc w:val="center"/>
        <w:rPr>
          <w:rFonts w:ascii="Times New Roman" w:hAnsi="Times New Roman"/>
          <w:b/>
          <w:bCs/>
          <w:color w:val="000000"/>
          <w:sz w:val="24"/>
          <w:szCs w:val="24"/>
          <w:lang w:val="uk-UA"/>
        </w:rPr>
      </w:pPr>
      <w:r w:rsidRPr="00DF5EA6">
        <w:rPr>
          <w:rFonts w:ascii="Times New Roman" w:hAnsi="Times New Roman"/>
          <w:b/>
          <w:bCs/>
          <w:color w:val="000000"/>
          <w:sz w:val="24"/>
          <w:szCs w:val="24"/>
          <w:lang w:val="uk-UA"/>
        </w:rPr>
        <w:t xml:space="preserve">ДК 021:2015 </w:t>
      </w:r>
      <w:r w:rsidR="00694F06" w:rsidRPr="00694F06">
        <w:rPr>
          <w:rFonts w:ascii="Times New Roman" w:hAnsi="Times New Roman"/>
          <w:b/>
          <w:bCs/>
          <w:color w:val="000000"/>
          <w:sz w:val="24"/>
          <w:szCs w:val="24"/>
          <w:lang w:val="uk-UA"/>
        </w:rPr>
        <w:t>44310000-6 – Вироби з дроту</w:t>
      </w:r>
    </w:p>
    <w:p w14:paraId="7091AB9E" w14:textId="1415DDD9"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991"/>
        <w:gridCol w:w="992"/>
        <w:gridCol w:w="4253"/>
        <w:gridCol w:w="1324"/>
      </w:tblGrid>
      <w:tr w:rsidR="00DF5EA6" w:rsidRPr="00B56E6E" w14:paraId="14E29C92" w14:textId="0883650D"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8615" w14:textId="43A6A836"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п/п</w:t>
            </w:r>
          </w:p>
        </w:tc>
        <w:tc>
          <w:tcPr>
            <w:tcW w:w="2441" w:type="dxa"/>
            <w:tcBorders>
              <w:top w:val="single" w:sz="4" w:space="0" w:color="auto"/>
              <w:left w:val="nil"/>
              <w:bottom w:val="single" w:sz="4" w:space="0" w:color="auto"/>
              <w:right w:val="single" w:sz="4" w:space="0" w:color="auto"/>
            </w:tcBorders>
            <w:shd w:val="clear" w:color="auto" w:fill="auto"/>
            <w:noWrap/>
            <w:hideMark/>
          </w:tcPr>
          <w:p w14:paraId="4D98B436" w14:textId="0AE3ABE4"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Найменування</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14:paraId="73C02DF4" w14:textId="2621F5E0"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xml:space="preserve">Од. </w:t>
            </w:r>
            <w:proofErr w:type="spellStart"/>
            <w:r w:rsidRPr="001230D9">
              <w:rPr>
                <w:b/>
                <w:color w:val="000000"/>
                <w:lang w:eastAsia="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5AA0" w14:textId="26AFCD18" w:rsidR="00DF5EA6" w:rsidRPr="00B56E6E" w:rsidRDefault="00DF5EA6" w:rsidP="00DF5EA6">
            <w:pPr>
              <w:spacing w:after="0" w:line="240" w:lineRule="auto"/>
              <w:jc w:val="center"/>
              <w:rPr>
                <w:rFonts w:ascii="Times New Roman" w:hAnsi="Times New Roman"/>
                <w:lang w:eastAsia="ru-RU"/>
              </w:rPr>
            </w:pPr>
            <w:r w:rsidRPr="001230D9">
              <w:rPr>
                <w:b/>
                <w:color w:val="000000"/>
                <w:lang w:eastAsia="ru-RU"/>
              </w:rPr>
              <w:t>К-</w:t>
            </w:r>
            <w:proofErr w:type="spellStart"/>
            <w:r w:rsidRPr="001230D9">
              <w:rPr>
                <w:b/>
                <w:color w:val="000000"/>
                <w:lang w:eastAsia="ru-RU"/>
              </w:rPr>
              <w:t>ть</w:t>
            </w:r>
            <w:proofErr w:type="spellEnd"/>
          </w:p>
        </w:tc>
        <w:tc>
          <w:tcPr>
            <w:tcW w:w="4253" w:type="dxa"/>
            <w:tcBorders>
              <w:top w:val="single" w:sz="4" w:space="0" w:color="auto"/>
              <w:left w:val="nil"/>
              <w:bottom w:val="single" w:sz="4" w:space="0" w:color="auto"/>
              <w:right w:val="single" w:sz="4" w:space="0" w:color="auto"/>
            </w:tcBorders>
            <w:shd w:val="clear" w:color="auto" w:fill="auto"/>
            <w:noWrap/>
            <w:hideMark/>
          </w:tcPr>
          <w:p w14:paraId="7AA2CA12" w14:textId="77777777" w:rsidR="00DF5EA6" w:rsidRPr="001230D9" w:rsidRDefault="00DF5EA6" w:rsidP="00DF5EA6">
            <w:pPr>
              <w:jc w:val="center"/>
              <w:rPr>
                <w:b/>
                <w:color w:val="000000"/>
                <w:lang w:eastAsia="ru-RU"/>
              </w:rPr>
            </w:pPr>
            <w:r w:rsidRPr="001230D9">
              <w:rPr>
                <w:b/>
                <w:color w:val="000000"/>
                <w:lang w:eastAsia="ru-RU"/>
              </w:rPr>
              <w:t>Характеристики</w:t>
            </w:r>
          </w:p>
          <w:p w14:paraId="040F9242" w14:textId="522F17E3"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встановлені</w:t>
            </w:r>
            <w:proofErr w:type="spellEnd"/>
            <w:r w:rsidRPr="001230D9">
              <w:rPr>
                <w:b/>
                <w:color w:val="000000"/>
                <w:lang w:eastAsia="ru-RU"/>
              </w:rPr>
              <w:t xml:space="preserve"> </w:t>
            </w:r>
            <w:proofErr w:type="spellStart"/>
            <w:r w:rsidRPr="001230D9">
              <w:rPr>
                <w:b/>
                <w:color w:val="000000"/>
                <w:lang w:eastAsia="ru-RU"/>
              </w:rPr>
              <w:t>замовником</w:t>
            </w:r>
            <w:proofErr w:type="spellEnd"/>
          </w:p>
        </w:tc>
        <w:tc>
          <w:tcPr>
            <w:tcW w:w="1324" w:type="dxa"/>
            <w:tcBorders>
              <w:top w:val="single" w:sz="4" w:space="0" w:color="auto"/>
              <w:left w:val="nil"/>
              <w:bottom w:val="single" w:sz="4" w:space="0" w:color="auto"/>
              <w:right w:val="single" w:sz="4" w:space="0" w:color="auto"/>
            </w:tcBorders>
          </w:tcPr>
          <w:p w14:paraId="33C85387" w14:textId="666E5B54" w:rsidR="00DF5EA6" w:rsidRPr="00B56E6E" w:rsidRDefault="00DF5EA6" w:rsidP="00DF5EA6">
            <w:pPr>
              <w:spacing w:after="0" w:line="240" w:lineRule="auto"/>
              <w:jc w:val="center"/>
              <w:rPr>
                <w:rFonts w:ascii="Times New Roman" w:hAnsi="Times New Roman"/>
                <w:lang w:val="uk-UA" w:eastAsia="ru-RU"/>
              </w:rPr>
            </w:pPr>
            <w:proofErr w:type="spellStart"/>
            <w:r>
              <w:rPr>
                <w:b/>
                <w:color w:val="000000"/>
                <w:lang w:eastAsia="ru-RU"/>
              </w:rPr>
              <w:t>Країна</w:t>
            </w:r>
            <w:proofErr w:type="spellEnd"/>
            <w:r>
              <w:rPr>
                <w:b/>
                <w:color w:val="000000"/>
                <w:lang w:eastAsia="ru-RU"/>
              </w:rPr>
              <w:t xml:space="preserve"> </w:t>
            </w:r>
            <w:proofErr w:type="spellStart"/>
            <w:r>
              <w:rPr>
                <w:b/>
                <w:color w:val="000000"/>
                <w:lang w:eastAsia="ru-RU"/>
              </w:rPr>
              <w:t>виробника</w:t>
            </w:r>
            <w:proofErr w:type="spellEnd"/>
          </w:p>
        </w:tc>
      </w:tr>
      <w:tr w:rsidR="00EC1AB9" w:rsidRPr="00B56E6E" w14:paraId="50C4527A" w14:textId="2739378A"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5711" w14:textId="4A21ECC8" w:rsidR="00EC1AB9" w:rsidRPr="00B56E6E" w:rsidRDefault="00EC1AB9" w:rsidP="00EC1AB9">
            <w:pPr>
              <w:spacing w:after="0" w:line="240" w:lineRule="auto"/>
              <w:jc w:val="center"/>
              <w:rPr>
                <w:rFonts w:ascii="Times New Roman" w:hAnsi="Times New Roman"/>
                <w:lang w:val="uk-UA" w:eastAsia="ru-RU"/>
              </w:rPr>
            </w:pPr>
            <w:r>
              <w:rPr>
                <w:color w:val="000000"/>
                <w:lang w:eastAsia="ru-RU"/>
              </w:rPr>
              <w:t>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212B3" w14:textId="271DC39B" w:rsidR="00EC1AB9" w:rsidRPr="00D257E2" w:rsidRDefault="006E489F" w:rsidP="00D762D5">
            <w:pPr>
              <w:spacing w:after="0" w:line="240" w:lineRule="auto"/>
              <w:rPr>
                <w:rFonts w:ascii="Times New Roman" w:hAnsi="Times New Roman"/>
                <w:lang w:val="uk-UA" w:eastAsia="ru-RU"/>
              </w:rPr>
            </w:pPr>
            <w:r w:rsidRPr="006E489F">
              <w:rPr>
                <w:rFonts w:ascii="Times New Roman" w:hAnsi="Times New Roman"/>
                <w:bCs/>
                <w:lang w:val="uk-UA"/>
              </w:rPr>
              <w:t xml:space="preserve">Зварювальний дріт СВ-08 А  </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2ED" w14:textId="28014587" w:rsidR="00EC1AB9" w:rsidRPr="00D257E2" w:rsidRDefault="00D257E2" w:rsidP="00D257E2">
            <w:pPr>
              <w:spacing w:after="0" w:line="240" w:lineRule="auto"/>
              <w:jc w:val="center"/>
              <w:rPr>
                <w:rFonts w:ascii="Times New Roman" w:hAnsi="Times New Roman"/>
                <w:lang w:val="uk-UA" w:eastAsia="ru-RU"/>
              </w:rPr>
            </w:pPr>
            <w:r>
              <w:rPr>
                <w:rFonts w:ascii="Arial Narrow" w:hAnsi="Arial Narrow" w:cs="Calibri"/>
                <w:color w:val="000000"/>
                <w:lang w:val="uk-UA" w:eastAsia="ru-RU"/>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299B" w14:textId="139EA43D" w:rsidR="00EC1AB9" w:rsidRPr="00B56E6E" w:rsidRDefault="00D762D5" w:rsidP="00EC1AB9">
            <w:pPr>
              <w:spacing w:after="0" w:line="240" w:lineRule="auto"/>
              <w:jc w:val="center"/>
              <w:rPr>
                <w:rFonts w:ascii="Times New Roman" w:hAnsi="Times New Roman"/>
                <w:lang w:val="uk-UA" w:eastAsia="ru-RU"/>
              </w:rPr>
            </w:pPr>
            <w:r>
              <w:rPr>
                <w:rFonts w:ascii="Times New Roman" w:hAnsi="Times New Roman"/>
                <w:lang w:val="uk-UA" w:eastAsia="ru-RU"/>
              </w:rPr>
              <w:t>300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D455" w14:textId="0DF74D98" w:rsidR="00D762D5" w:rsidRDefault="00D762D5" w:rsidP="00D762D5">
            <w:pPr>
              <w:spacing w:after="0" w:line="240" w:lineRule="auto"/>
              <w:jc w:val="center"/>
              <w:rPr>
                <w:rFonts w:cs="Calibri"/>
                <w:bCs/>
                <w:color w:val="000000"/>
                <w:lang w:eastAsia="ru-RU"/>
              </w:rPr>
            </w:pPr>
            <w:proofErr w:type="spellStart"/>
            <w:r w:rsidRPr="00D762D5">
              <w:rPr>
                <w:rFonts w:cs="Calibri"/>
                <w:bCs/>
                <w:color w:val="000000"/>
                <w:lang w:eastAsia="ru-RU"/>
              </w:rPr>
              <w:t>Дріт</w:t>
            </w:r>
            <w:proofErr w:type="spellEnd"/>
            <w:r w:rsidRPr="00D762D5">
              <w:rPr>
                <w:rFonts w:cs="Calibri"/>
                <w:bCs/>
                <w:color w:val="000000"/>
                <w:lang w:eastAsia="ru-RU"/>
              </w:rPr>
              <w:t xml:space="preserve"> </w:t>
            </w:r>
            <w:proofErr w:type="spellStart"/>
            <w:r w:rsidRPr="00D762D5">
              <w:rPr>
                <w:rFonts w:cs="Calibri"/>
                <w:bCs/>
                <w:color w:val="000000"/>
                <w:lang w:eastAsia="ru-RU"/>
              </w:rPr>
              <w:t>зварювальний</w:t>
            </w:r>
            <w:proofErr w:type="spellEnd"/>
            <w:r w:rsidRPr="00D762D5">
              <w:rPr>
                <w:rFonts w:cs="Calibri"/>
                <w:bCs/>
                <w:color w:val="000000"/>
                <w:lang w:eastAsia="ru-RU"/>
              </w:rPr>
              <w:t xml:space="preserve"> ГОСТ 2246-70</w:t>
            </w:r>
          </w:p>
          <w:p w14:paraId="5B6D4F4C" w14:textId="0D365ECF" w:rsidR="00EC1AB9" w:rsidRPr="00EA7C35" w:rsidRDefault="00EC1AB9" w:rsidP="00D762D5">
            <w:pPr>
              <w:spacing w:after="0" w:line="240" w:lineRule="auto"/>
              <w:jc w:val="center"/>
              <w:rPr>
                <w:rFonts w:cs="Calibri"/>
                <w:bCs/>
                <w:color w:val="000000"/>
                <w:lang w:eastAsia="ru-RU"/>
              </w:rPr>
            </w:pPr>
            <w:proofErr w:type="spellStart"/>
            <w:r w:rsidRPr="00EA7C35">
              <w:rPr>
                <w:rFonts w:cs="Calibri"/>
                <w:bCs/>
                <w:color w:val="000000"/>
                <w:lang w:eastAsia="ru-RU"/>
              </w:rPr>
              <w:t>Виробник</w:t>
            </w:r>
            <w:proofErr w:type="spellEnd"/>
            <w:r w:rsidRPr="00EA7C35">
              <w:rPr>
                <w:rFonts w:cs="Calibri"/>
                <w:bCs/>
                <w:color w:val="000000"/>
                <w:lang w:eastAsia="ru-RU"/>
              </w:rPr>
              <w:t xml:space="preserve"> </w:t>
            </w:r>
            <w:proofErr w:type="spellStart"/>
            <w:r w:rsidRPr="00EA7C35">
              <w:rPr>
                <w:rFonts w:cs="Calibri"/>
                <w:bCs/>
                <w:color w:val="000000"/>
                <w:lang w:eastAsia="ru-RU"/>
              </w:rPr>
              <w:t>Monolith</w:t>
            </w:r>
            <w:proofErr w:type="spellEnd"/>
          </w:p>
          <w:p w14:paraId="7C8461DA" w14:textId="254A54BB" w:rsidR="00EC1AB9" w:rsidRPr="00EA7C35" w:rsidRDefault="00EC1AB9" w:rsidP="00D762D5">
            <w:pPr>
              <w:spacing w:after="0" w:line="240" w:lineRule="auto"/>
              <w:jc w:val="center"/>
              <w:rPr>
                <w:rFonts w:cs="Calibri"/>
                <w:bCs/>
                <w:color w:val="000000"/>
                <w:lang w:eastAsia="ru-RU"/>
              </w:rPr>
            </w:pPr>
            <w:proofErr w:type="spellStart"/>
            <w:r w:rsidRPr="00EA7C35">
              <w:rPr>
                <w:rFonts w:cs="Calibri"/>
                <w:bCs/>
                <w:color w:val="000000"/>
                <w:lang w:eastAsia="ru-RU"/>
              </w:rPr>
              <w:t>Діаметр</w:t>
            </w:r>
            <w:proofErr w:type="spellEnd"/>
            <w:r w:rsidRPr="00EA7C35">
              <w:rPr>
                <w:rFonts w:cs="Calibri"/>
                <w:bCs/>
                <w:color w:val="000000"/>
                <w:lang w:eastAsia="ru-RU"/>
              </w:rPr>
              <w:t xml:space="preserve"> </w:t>
            </w:r>
            <w:r w:rsidR="00D762D5" w:rsidRPr="00D762D5">
              <w:rPr>
                <w:rFonts w:cs="Calibri"/>
                <w:bCs/>
                <w:color w:val="000000"/>
                <w:lang w:eastAsia="ru-RU"/>
              </w:rPr>
              <w:t xml:space="preserve">дроту </w:t>
            </w:r>
            <w:r>
              <w:rPr>
                <w:rFonts w:cs="Calibri"/>
                <w:bCs/>
                <w:color w:val="000000"/>
                <w:lang w:eastAsia="ru-RU"/>
              </w:rPr>
              <w:t>-</w:t>
            </w:r>
            <w:r w:rsidRPr="00EA7C35">
              <w:rPr>
                <w:rFonts w:cs="Calibri"/>
                <w:bCs/>
                <w:color w:val="000000"/>
                <w:lang w:eastAsia="ru-RU"/>
              </w:rPr>
              <w:t>3 мм</w:t>
            </w:r>
          </w:p>
          <w:p w14:paraId="7DAAF55B" w14:textId="2904906F" w:rsidR="00EC1AB9" w:rsidRDefault="00EC1AB9" w:rsidP="00D762D5">
            <w:pPr>
              <w:spacing w:after="0" w:line="240" w:lineRule="auto"/>
              <w:jc w:val="center"/>
              <w:rPr>
                <w:rFonts w:cs="Calibri"/>
                <w:bCs/>
                <w:color w:val="000000"/>
                <w:lang w:eastAsia="ru-RU"/>
              </w:rPr>
            </w:pPr>
            <w:r w:rsidRPr="00EA7C35">
              <w:rPr>
                <w:rFonts w:cs="Calibri"/>
                <w:bCs/>
                <w:color w:val="000000"/>
                <w:lang w:eastAsia="ru-RU"/>
              </w:rPr>
              <w:t xml:space="preserve">Тип </w:t>
            </w:r>
            <w:r w:rsidR="00D762D5" w:rsidRPr="00D762D5">
              <w:rPr>
                <w:rFonts w:cs="Calibri"/>
                <w:bCs/>
                <w:color w:val="000000"/>
                <w:lang w:eastAsia="ru-RU"/>
              </w:rPr>
              <w:t xml:space="preserve">дроту </w:t>
            </w:r>
            <w:r>
              <w:rPr>
                <w:rFonts w:cs="Calibri"/>
                <w:bCs/>
                <w:color w:val="000000"/>
                <w:lang w:eastAsia="ru-RU"/>
              </w:rPr>
              <w:t xml:space="preserve"> - </w:t>
            </w:r>
            <w:proofErr w:type="spellStart"/>
            <w:r w:rsidRPr="00EA7C35">
              <w:rPr>
                <w:rFonts w:cs="Calibri"/>
                <w:bCs/>
                <w:color w:val="000000"/>
                <w:lang w:eastAsia="ru-RU"/>
              </w:rPr>
              <w:t>Металевий</w:t>
            </w:r>
            <w:proofErr w:type="spellEnd"/>
          </w:p>
          <w:p w14:paraId="5F5EEB38" w14:textId="77777777" w:rsidR="00D762D5" w:rsidRDefault="00D762D5" w:rsidP="00D762D5">
            <w:pPr>
              <w:spacing w:after="0" w:line="240" w:lineRule="auto"/>
              <w:jc w:val="center"/>
              <w:rPr>
                <w:rFonts w:cs="Calibri"/>
                <w:bCs/>
                <w:color w:val="000000"/>
                <w:lang w:eastAsia="ru-RU"/>
              </w:rPr>
            </w:pPr>
            <w:r w:rsidRPr="00D762D5">
              <w:rPr>
                <w:rFonts w:cs="Calibri"/>
                <w:bCs/>
                <w:color w:val="000000"/>
                <w:lang w:eastAsia="ru-RU"/>
              </w:rPr>
              <w:t xml:space="preserve">Пруток </w:t>
            </w:r>
            <w:proofErr w:type="spellStart"/>
            <w:r w:rsidRPr="00D762D5">
              <w:rPr>
                <w:rFonts w:cs="Calibri"/>
                <w:bCs/>
                <w:color w:val="000000"/>
                <w:lang w:eastAsia="ru-RU"/>
              </w:rPr>
              <w:t>присадний</w:t>
            </w:r>
            <w:proofErr w:type="spellEnd"/>
            <w:r w:rsidRPr="00D762D5">
              <w:rPr>
                <w:rFonts w:cs="Calibri"/>
                <w:bCs/>
                <w:color w:val="000000"/>
                <w:lang w:eastAsia="ru-RU"/>
              </w:rPr>
              <w:t xml:space="preserve"> </w:t>
            </w:r>
            <w:proofErr w:type="spellStart"/>
            <w:r w:rsidRPr="00D762D5">
              <w:rPr>
                <w:rFonts w:cs="Calibri"/>
                <w:bCs/>
                <w:color w:val="000000"/>
                <w:lang w:eastAsia="ru-RU"/>
              </w:rPr>
              <w:t>зварювального</w:t>
            </w:r>
            <w:proofErr w:type="spellEnd"/>
            <w:r w:rsidRPr="00D762D5">
              <w:rPr>
                <w:rFonts w:cs="Calibri"/>
                <w:bCs/>
                <w:color w:val="000000"/>
                <w:lang w:eastAsia="ru-RU"/>
              </w:rPr>
              <w:t xml:space="preserve"> дроту Св-08А </w:t>
            </w:r>
            <w:proofErr w:type="spellStart"/>
            <w:r w:rsidRPr="00D762D5">
              <w:rPr>
                <w:rFonts w:cs="Calibri"/>
                <w:bCs/>
                <w:color w:val="000000"/>
                <w:lang w:eastAsia="ru-RU"/>
              </w:rPr>
              <w:t>призначений</w:t>
            </w:r>
            <w:proofErr w:type="spellEnd"/>
            <w:r w:rsidRPr="00D762D5">
              <w:rPr>
                <w:rFonts w:cs="Calibri"/>
                <w:bCs/>
                <w:color w:val="000000"/>
                <w:lang w:eastAsia="ru-RU"/>
              </w:rPr>
              <w:t xml:space="preserve"> для </w:t>
            </w:r>
            <w:proofErr w:type="spellStart"/>
            <w:r w:rsidRPr="00D762D5">
              <w:rPr>
                <w:rFonts w:cs="Calibri"/>
                <w:bCs/>
                <w:color w:val="000000"/>
                <w:lang w:eastAsia="ru-RU"/>
              </w:rPr>
              <w:t>зварювання</w:t>
            </w:r>
            <w:proofErr w:type="spellEnd"/>
            <w:r w:rsidRPr="00D762D5">
              <w:rPr>
                <w:rFonts w:cs="Calibri"/>
                <w:bCs/>
                <w:color w:val="000000"/>
                <w:lang w:eastAsia="ru-RU"/>
              </w:rPr>
              <w:t xml:space="preserve"> марок сталей типу Ст3пс, Ст3сп, Ст10, 15, 20, 20К та </w:t>
            </w:r>
            <w:proofErr w:type="spellStart"/>
            <w:r w:rsidRPr="00D762D5">
              <w:rPr>
                <w:rFonts w:cs="Calibri"/>
                <w:bCs/>
                <w:color w:val="000000"/>
                <w:lang w:eastAsia="ru-RU"/>
              </w:rPr>
              <w:t>інших</w:t>
            </w:r>
            <w:proofErr w:type="spellEnd"/>
            <w:r w:rsidRPr="00D762D5">
              <w:rPr>
                <w:rFonts w:cs="Calibri"/>
                <w:bCs/>
                <w:color w:val="000000"/>
                <w:lang w:eastAsia="ru-RU"/>
              </w:rPr>
              <w:t>.</w:t>
            </w:r>
          </w:p>
          <w:p w14:paraId="152CEB37" w14:textId="708366F9" w:rsidR="00EC1AB9" w:rsidRPr="00D762D5" w:rsidRDefault="00EC1AB9" w:rsidP="006E489F">
            <w:pPr>
              <w:spacing w:after="0" w:line="240" w:lineRule="auto"/>
              <w:jc w:val="center"/>
              <w:rPr>
                <w:rFonts w:cs="Calibri"/>
                <w:bCs/>
                <w:color w:val="000000"/>
                <w:lang w:eastAsia="ru-RU"/>
              </w:rPr>
            </w:pPr>
            <w:r w:rsidRPr="00EA7C35">
              <w:rPr>
                <w:rFonts w:cs="Calibri"/>
                <w:bCs/>
                <w:color w:val="000000"/>
                <w:lang w:eastAsia="ru-RU"/>
              </w:rPr>
              <w:t xml:space="preserve">Вага </w:t>
            </w:r>
            <w:r w:rsidR="00D762D5" w:rsidRPr="00D762D5">
              <w:rPr>
                <w:rFonts w:cs="Calibri"/>
                <w:bCs/>
                <w:color w:val="000000"/>
                <w:lang w:eastAsia="ru-RU"/>
              </w:rPr>
              <w:t>тубусу</w:t>
            </w:r>
            <w:r w:rsidR="006E489F">
              <w:rPr>
                <w:rFonts w:cs="Calibri"/>
                <w:bCs/>
                <w:color w:val="000000"/>
                <w:lang w:val="uk-UA" w:eastAsia="ru-RU"/>
              </w:rPr>
              <w:t xml:space="preserve"> - </w:t>
            </w:r>
            <w:r w:rsidR="00D762D5" w:rsidRPr="00D762D5">
              <w:rPr>
                <w:rFonts w:cs="Calibri"/>
                <w:bCs/>
                <w:color w:val="000000"/>
                <w:lang w:eastAsia="ru-RU"/>
              </w:rPr>
              <w:t>5</w:t>
            </w:r>
            <w:r w:rsidRPr="00EA7C35">
              <w:rPr>
                <w:rFonts w:cs="Calibri"/>
                <w:bCs/>
                <w:color w:val="000000"/>
                <w:lang w:eastAsia="ru-RU"/>
              </w:rPr>
              <w:t xml:space="preserve"> кг </w:t>
            </w:r>
          </w:p>
        </w:tc>
        <w:tc>
          <w:tcPr>
            <w:tcW w:w="1324" w:type="dxa"/>
            <w:tcBorders>
              <w:top w:val="single" w:sz="4" w:space="0" w:color="auto"/>
              <w:left w:val="single" w:sz="4" w:space="0" w:color="auto"/>
              <w:bottom w:val="single" w:sz="4" w:space="0" w:color="auto"/>
              <w:right w:val="single" w:sz="4" w:space="0" w:color="auto"/>
            </w:tcBorders>
          </w:tcPr>
          <w:p w14:paraId="59146646" w14:textId="77777777" w:rsidR="00EC1AB9" w:rsidRPr="00B56E6E" w:rsidRDefault="00EC1AB9" w:rsidP="00EC1AB9">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480F75C0" w:rsidR="00C03D41" w:rsidRDefault="00DF5EA6" w:rsidP="00C03D41">
      <w:pPr>
        <w:spacing w:after="120"/>
        <w:rPr>
          <w:rFonts w:ascii="Times New Roman" w:hAnsi="Times New Roman"/>
          <w:bCs/>
          <w:sz w:val="24"/>
          <w:szCs w:val="24"/>
          <w:shd w:val="clear" w:color="auto" w:fill="FFFFFF" w:themeFill="background1"/>
          <w:lang w:val="uk-UA"/>
        </w:rPr>
      </w:pPr>
      <w:r w:rsidRPr="00DF5EA6">
        <w:rPr>
          <w:rFonts w:ascii="Times New Roman" w:hAnsi="Times New Roman"/>
          <w:bCs/>
          <w:sz w:val="24"/>
          <w:szCs w:val="24"/>
        </w:rPr>
        <w:t xml:space="preserve">Товар повинен </w:t>
      </w:r>
      <w:proofErr w:type="spellStart"/>
      <w:r w:rsidRPr="00DF5EA6">
        <w:rPr>
          <w:rFonts w:ascii="Times New Roman" w:hAnsi="Times New Roman"/>
          <w:bCs/>
          <w:sz w:val="24"/>
          <w:szCs w:val="24"/>
        </w:rPr>
        <w:t>поставлятися</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зі</w:t>
      </w:r>
      <w:proofErr w:type="spellEnd"/>
      <w:r w:rsidRPr="00DF5EA6">
        <w:rPr>
          <w:rFonts w:ascii="Times New Roman" w:hAnsi="Times New Roman"/>
          <w:bCs/>
          <w:sz w:val="24"/>
          <w:szCs w:val="24"/>
        </w:rPr>
        <w:t xml:space="preserve"> складу </w:t>
      </w:r>
      <w:proofErr w:type="spellStart"/>
      <w:r w:rsidRPr="00DF5EA6">
        <w:rPr>
          <w:rFonts w:ascii="Times New Roman" w:hAnsi="Times New Roman"/>
          <w:bCs/>
          <w:sz w:val="24"/>
          <w:szCs w:val="24"/>
        </w:rPr>
        <w:t>або</w:t>
      </w:r>
      <w:proofErr w:type="spellEnd"/>
      <w:r w:rsidRPr="00DF5EA6">
        <w:rPr>
          <w:rFonts w:ascii="Times New Roman" w:hAnsi="Times New Roman"/>
          <w:bCs/>
          <w:sz w:val="24"/>
          <w:szCs w:val="24"/>
        </w:rPr>
        <w:t xml:space="preserve"> магазину </w:t>
      </w:r>
      <w:proofErr w:type="spellStart"/>
      <w:r w:rsidRPr="00DF5EA6">
        <w:rPr>
          <w:rFonts w:ascii="Times New Roman" w:hAnsi="Times New Roman"/>
          <w:bCs/>
          <w:sz w:val="24"/>
          <w:szCs w:val="24"/>
        </w:rPr>
        <w:t>постачальника</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що</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знаходиться</w:t>
      </w:r>
      <w:proofErr w:type="spellEnd"/>
      <w:r w:rsidR="00D762D5">
        <w:rPr>
          <w:rFonts w:ascii="Times New Roman" w:hAnsi="Times New Roman"/>
          <w:bCs/>
          <w:sz w:val="24"/>
          <w:szCs w:val="24"/>
          <w:lang w:val="uk-UA"/>
        </w:rPr>
        <w:t xml:space="preserve"> </w:t>
      </w:r>
      <w:r w:rsidRPr="00DF5EA6">
        <w:rPr>
          <w:rFonts w:ascii="Times New Roman" w:hAnsi="Times New Roman"/>
          <w:bCs/>
          <w:sz w:val="24"/>
          <w:szCs w:val="24"/>
        </w:rPr>
        <w:t xml:space="preserve">в </w:t>
      </w:r>
      <w:proofErr w:type="spellStart"/>
      <w:r w:rsidRPr="00DF5EA6">
        <w:rPr>
          <w:rFonts w:ascii="Times New Roman" w:hAnsi="Times New Roman"/>
          <w:bCs/>
          <w:sz w:val="24"/>
          <w:szCs w:val="24"/>
        </w:rPr>
        <w:t>м.Лубни</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згідно</w:t>
      </w:r>
      <w:proofErr w:type="spellEnd"/>
      <w:r w:rsidRPr="00DF5EA6">
        <w:rPr>
          <w:rFonts w:ascii="Times New Roman" w:hAnsi="Times New Roman"/>
          <w:bCs/>
          <w:sz w:val="24"/>
          <w:szCs w:val="24"/>
        </w:rPr>
        <w:t xml:space="preserve"> заявок </w:t>
      </w:r>
      <w:proofErr w:type="spellStart"/>
      <w:r w:rsidRPr="00DF5EA6">
        <w:rPr>
          <w:rFonts w:ascii="Times New Roman" w:hAnsi="Times New Roman"/>
          <w:bCs/>
          <w:sz w:val="24"/>
          <w:szCs w:val="24"/>
        </w:rPr>
        <w:t>Замовника</w:t>
      </w:r>
      <w:proofErr w:type="spellEnd"/>
      <w:r w:rsidRPr="00DF5EA6">
        <w:rPr>
          <w:rFonts w:ascii="Times New Roman" w:hAnsi="Times New Roman"/>
          <w:bCs/>
          <w:sz w:val="24"/>
          <w:szCs w:val="24"/>
        </w:rPr>
        <w:t xml:space="preserve"> </w:t>
      </w:r>
      <w:r w:rsidR="00C03D41">
        <w:rPr>
          <w:rFonts w:ascii="Times New Roman" w:hAnsi="Times New Roman"/>
          <w:bCs/>
          <w:sz w:val="24"/>
          <w:szCs w:val="24"/>
        </w:rPr>
        <w:t xml:space="preserve">до </w:t>
      </w:r>
      <w:r w:rsidR="00C03D41">
        <w:rPr>
          <w:rFonts w:ascii="Times New Roman" w:hAnsi="Times New Roman"/>
          <w:bCs/>
          <w:sz w:val="24"/>
          <w:szCs w:val="24"/>
          <w:shd w:val="clear" w:color="auto" w:fill="FFFFFF" w:themeFill="background1"/>
        </w:rPr>
        <w:t>31.12.202</w:t>
      </w:r>
      <w:r w:rsidR="00C03D41">
        <w:rPr>
          <w:rFonts w:ascii="Times New Roman" w:hAnsi="Times New Roman"/>
          <w:bCs/>
          <w:sz w:val="24"/>
          <w:szCs w:val="24"/>
          <w:shd w:val="clear" w:color="auto" w:fill="FFFFFF" w:themeFill="background1"/>
          <w:lang w:val="uk-UA"/>
        </w:rPr>
        <w:t>2</w:t>
      </w:r>
      <w:r w:rsidR="00C03D41">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поставки  </w:t>
      </w:r>
      <w:r>
        <w:rPr>
          <w:rFonts w:ascii="Times New Roman" w:hAnsi="Times New Roman"/>
          <w:bCs/>
          <w:sz w:val="24"/>
          <w:szCs w:val="24"/>
          <w:lang w:val="uk-UA"/>
        </w:rPr>
        <w:t>товару</w:t>
      </w:r>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BBCA425"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lastRenderedPageBreak/>
        <w:t>Товар повинен мати належну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w:t>
      </w:r>
      <w:proofErr w:type="spellStart"/>
      <w:r w:rsidRPr="006A0C40">
        <w:rPr>
          <w:rFonts w:ascii="Times New Roman" w:hAnsi="Times New Roman"/>
        </w:rPr>
        <w:t>Кондратенка</w:t>
      </w:r>
      <w:proofErr w:type="spellEnd"/>
      <w:r w:rsidRPr="006A0C40">
        <w:rPr>
          <w:rFonts w:ascii="Times New Roman" w:hAnsi="Times New Roman"/>
        </w:rPr>
        <w:t xml:space="preserve">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620ECACA"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694F06" w:rsidRPr="00694F06">
        <w:rPr>
          <w:rFonts w:ascii="Times New Roman" w:hAnsi="Times New Roman"/>
          <w:color w:val="000000"/>
          <w:shd w:val="clear" w:color="auto" w:fill="FFFFFF" w:themeFill="background1"/>
          <w:lang w:val="uk-UA"/>
        </w:rPr>
        <w:t>44310000-6 – Вироби з дроту</w:t>
      </w:r>
      <w:r w:rsidR="00694F06" w:rsidRPr="00694F06">
        <w:rPr>
          <w:rFonts w:ascii="Times New Roman" w:hAnsi="Times New Roman"/>
          <w:color w:val="000000"/>
          <w:shd w:val="clear" w:color="auto" w:fill="FFFFFF" w:themeFill="background1"/>
        </w:rPr>
        <w:t xml:space="preserve"> </w:t>
      </w:r>
      <w:r w:rsidR="00DF5EA6" w:rsidRPr="00DF5EA6">
        <w:rPr>
          <w:rFonts w:ascii="Times New Roman" w:hAnsi="Times New Roman"/>
          <w:color w:val="000000"/>
          <w:shd w:val="clear" w:color="auto" w:fill="FFFFFF" w:themeFill="background1"/>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proofErr w:type="gramStart"/>
      <w:r w:rsidRPr="006A0C40">
        <w:rPr>
          <w:rFonts w:ascii="Times New Roman" w:hAnsi="Times New Roman"/>
        </w:rPr>
        <w:t>включен</w:t>
      </w:r>
      <w:proofErr w:type="gramEnd"/>
      <w:r w:rsidRPr="006A0C40">
        <w:rPr>
          <w:rFonts w:ascii="Times New Roman" w:hAnsi="Times New Roman"/>
        </w:rPr>
        <w:t>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proofErr w:type="gramStart"/>
      <w:r w:rsidRPr="006A0C40">
        <w:rPr>
          <w:rFonts w:ascii="Times New Roman" w:hAnsi="Times New Roman"/>
          <w:lang w:eastAsia="ru-RU"/>
        </w:rPr>
        <w:t>п</w:t>
      </w:r>
      <w:proofErr w:type="gramEnd"/>
      <w:r w:rsidRPr="006A0C40">
        <w:rPr>
          <w:rFonts w:ascii="Times New Roman" w:hAnsi="Times New Roman"/>
          <w:lang w:eastAsia="ru-RU"/>
        </w:rPr>
        <w:t>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для товару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proofErr w:type="gramStart"/>
      <w:r w:rsidRPr="006A0C40">
        <w:rPr>
          <w:rFonts w:ascii="Times New Roman" w:hAnsi="Times New Roman"/>
        </w:rPr>
        <w:t>п</w:t>
      </w:r>
      <w:proofErr w:type="gramEnd"/>
      <w:r w:rsidRPr="006A0C40">
        <w:rPr>
          <w:rFonts w:ascii="Times New Roman" w:hAnsi="Times New Roman"/>
        </w:rPr>
        <w:t>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в судовому порядку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w:t>
      </w:r>
      <w:proofErr w:type="gramEnd"/>
      <w:r w:rsidRPr="006A0C40">
        <w:rPr>
          <w:rFonts w:ascii="Times New Roman" w:hAnsi="Times New Roman"/>
          <w:lang w:eastAsia="ru-RU"/>
        </w:rPr>
        <w:t xml:space="preserve"> </w:t>
      </w:r>
      <w:proofErr w:type="gramStart"/>
      <w:r w:rsidRPr="006A0C40">
        <w:rPr>
          <w:rFonts w:ascii="Times New Roman" w:hAnsi="Times New Roman"/>
          <w:lang w:eastAsia="ru-RU"/>
        </w:rPr>
        <w:t>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3DC1425"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694F06" w:rsidRPr="00694F06">
        <w:rPr>
          <w:rFonts w:ascii="Times New Roman" w:hAnsi="Times New Roman"/>
          <w:lang w:val="uk-UA"/>
        </w:rPr>
        <w:t>44310000-6 – Вироби з дроту</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733BFBF5"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694F06" w:rsidRPr="00694F06">
        <w:rPr>
          <w:rFonts w:ascii="Times New Roman" w:hAnsi="Times New Roman"/>
          <w:bCs/>
          <w:color w:val="000000"/>
          <w:shd w:val="clear" w:color="auto" w:fill="FFFFFF" w:themeFill="background1"/>
          <w:lang w:val="uk-UA" w:bidi="uk-UA"/>
        </w:rPr>
        <w:t xml:space="preserve">44310000-6 – Вироби з дроту </w:t>
      </w:r>
      <w:r w:rsidR="00DF5EA6" w:rsidRPr="00DF5EA6">
        <w:rPr>
          <w:rFonts w:ascii="Times New Roman" w:hAnsi="Times New Roman"/>
          <w:bCs/>
          <w:color w:val="000000"/>
          <w:shd w:val="clear" w:color="auto" w:fill="FFFFFF" w:themeFill="background1"/>
          <w:lang w:val="uk-UA" w:bidi="uk-UA"/>
        </w:rPr>
        <w:t>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charset w:val="00"/>
    <w:family w:val="auto"/>
    <w:pitch w:val="variable"/>
  </w:font>
  <w:font w:name="FreeSans">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00000000"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2F18FD"/>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3E2618"/>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930D6"/>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4F06"/>
    <w:rsid w:val="006963CA"/>
    <w:rsid w:val="006A0C40"/>
    <w:rsid w:val="006A7B5E"/>
    <w:rsid w:val="006B67E5"/>
    <w:rsid w:val="006C0B3C"/>
    <w:rsid w:val="006C1831"/>
    <w:rsid w:val="006C1BFC"/>
    <w:rsid w:val="006C5F76"/>
    <w:rsid w:val="006E0CEE"/>
    <w:rsid w:val="006E489F"/>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5546E"/>
    <w:rsid w:val="00864029"/>
    <w:rsid w:val="0087493F"/>
    <w:rsid w:val="00890078"/>
    <w:rsid w:val="00895741"/>
    <w:rsid w:val="008B5BD1"/>
    <w:rsid w:val="008B7310"/>
    <w:rsid w:val="008C1826"/>
    <w:rsid w:val="008C71A5"/>
    <w:rsid w:val="008D1629"/>
    <w:rsid w:val="008D366D"/>
    <w:rsid w:val="008E35F2"/>
    <w:rsid w:val="008F6166"/>
    <w:rsid w:val="00905BB2"/>
    <w:rsid w:val="00914BCD"/>
    <w:rsid w:val="0092769B"/>
    <w:rsid w:val="00930D0E"/>
    <w:rsid w:val="00936F56"/>
    <w:rsid w:val="009467ED"/>
    <w:rsid w:val="00951581"/>
    <w:rsid w:val="00962DEE"/>
    <w:rsid w:val="00964205"/>
    <w:rsid w:val="009649A8"/>
    <w:rsid w:val="00964A5B"/>
    <w:rsid w:val="00973B85"/>
    <w:rsid w:val="00974B1E"/>
    <w:rsid w:val="00995069"/>
    <w:rsid w:val="009C43DE"/>
    <w:rsid w:val="009C5038"/>
    <w:rsid w:val="009E3951"/>
    <w:rsid w:val="009E679F"/>
    <w:rsid w:val="00A03644"/>
    <w:rsid w:val="00A05348"/>
    <w:rsid w:val="00A24DA1"/>
    <w:rsid w:val="00A329C6"/>
    <w:rsid w:val="00A50217"/>
    <w:rsid w:val="00A53694"/>
    <w:rsid w:val="00A566DE"/>
    <w:rsid w:val="00A67457"/>
    <w:rsid w:val="00A77821"/>
    <w:rsid w:val="00A8607E"/>
    <w:rsid w:val="00A8767F"/>
    <w:rsid w:val="00A9244B"/>
    <w:rsid w:val="00A97224"/>
    <w:rsid w:val="00A97D32"/>
    <w:rsid w:val="00AA5907"/>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0774"/>
    <w:rsid w:val="00B54521"/>
    <w:rsid w:val="00B56E6E"/>
    <w:rsid w:val="00B61B80"/>
    <w:rsid w:val="00B64B7B"/>
    <w:rsid w:val="00B65B26"/>
    <w:rsid w:val="00B67719"/>
    <w:rsid w:val="00B737D6"/>
    <w:rsid w:val="00B73A72"/>
    <w:rsid w:val="00B9064E"/>
    <w:rsid w:val="00B978FC"/>
    <w:rsid w:val="00BA4CEB"/>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879F3"/>
    <w:rsid w:val="00CB0CA9"/>
    <w:rsid w:val="00CD693D"/>
    <w:rsid w:val="00CE1D55"/>
    <w:rsid w:val="00CE3BCE"/>
    <w:rsid w:val="00CE79B8"/>
    <w:rsid w:val="00D00C3E"/>
    <w:rsid w:val="00D02A4D"/>
    <w:rsid w:val="00D02E5D"/>
    <w:rsid w:val="00D07FF2"/>
    <w:rsid w:val="00D1722E"/>
    <w:rsid w:val="00D257E2"/>
    <w:rsid w:val="00D34449"/>
    <w:rsid w:val="00D4386F"/>
    <w:rsid w:val="00D4674B"/>
    <w:rsid w:val="00D47E6B"/>
    <w:rsid w:val="00D50C75"/>
    <w:rsid w:val="00D522F1"/>
    <w:rsid w:val="00D66329"/>
    <w:rsid w:val="00D67445"/>
    <w:rsid w:val="00D71E32"/>
    <w:rsid w:val="00D74F0A"/>
    <w:rsid w:val="00D762D5"/>
    <w:rsid w:val="00D94ADF"/>
    <w:rsid w:val="00DC7216"/>
    <w:rsid w:val="00DC738D"/>
    <w:rsid w:val="00DC7E52"/>
    <w:rsid w:val="00DE5855"/>
    <w:rsid w:val="00DF30C8"/>
    <w:rsid w:val="00DF5EA6"/>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1AB9"/>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930D6"/>
    <w:pPr>
      <w:shd w:val="clear" w:color="auto" w:fill="FFFFFF" w:themeFill="background1"/>
      <w:suppressAutoHyphens/>
      <w:spacing w:after="0" w:line="240" w:lineRule="auto"/>
      <w:jc w:val="right"/>
    </w:pPr>
    <w:rPr>
      <w:rFonts w:ascii="Times New Roman" w:hAnsi="Times New Roman" w:cs="Times New Roman"/>
      <w:b/>
      <w:color w:val="FF0000"/>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5930D6"/>
    <w:pPr>
      <w:shd w:val="clear" w:color="auto" w:fill="FFFFFF" w:themeFill="background1"/>
      <w:suppressAutoHyphens/>
      <w:spacing w:after="0" w:line="240" w:lineRule="auto"/>
      <w:jc w:val="right"/>
    </w:pPr>
    <w:rPr>
      <w:rFonts w:ascii="Times New Roman" w:hAnsi="Times New Roman" w:cs="Times New Roman"/>
      <w:b/>
      <w:color w:val="FF0000"/>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2453-125B-47BC-B8B0-04D5B057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5461</Words>
  <Characters>31130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2</cp:revision>
  <cp:lastPrinted>2022-08-25T10:40:00Z</cp:lastPrinted>
  <dcterms:created xsi:type="dcterms:W3CDTF">2022-10-11T12:37:00Z</dcterms:created>
  <dcterms:modified xsi:type="dcterms:W3CDTF">2022-10-11T12:37:00Z</dcterms:modified>
</cp:coreProperties>
</file>