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4E" w:rsidRPr="001F5509" w:rsidRDefault="00370C82" w:rsidP="00372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1F5509">
        <w:rPr>
          <w:rFonts w:ascii="Times New Roman" w:hAnsi="Times New Roman" w:cs="Times New Roman"/>
          <w:b/>
          <w:sz w:val="28"/>
          <w:szCs w:val="24"/>
          <w:lang w:val="uk-UA"/>
        </w:rPr>
        <w:t>Перелік внесених змін до тендерної документації:</w:t>
      </w:r>
    </w:p>
    <w:p w:rsidR="00D30CEA" w:rsidRPr="001F5509" w:rsidRDefault="00D30CEA" w:rsidP="00D30C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:rsidR="00763E74" w:rsidRPr="001F5509" w:rsidRDefault="00D30CEA" w:rsidP="00763E74">
      <w:pPr>
        <w:tabs>
          <w:tab w:val="left" w:pos="7371"/>
        </w:tabs>
        <w:autoSpaceDE w:val="0"/>
        <w:autoSpaceDN w:val="0"/>
        <w:spacing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32"/>
          <w:lang w:val="ru-RU"/>
        </w:rPr>
      </w:pPr>
      <w:r w:rsidRPr="001F5509">
        <w:rPr>
          <w:rFonts w:ascii="Times New Roman" w:hAnsi="Times New Roman"/>
          <w:b/>
          <w:color w:val="000000" w:themeColor="text1"/>
          <w:sz w:val="24"/>
          <w:szCs w:val="28"/>
          <w:lang w:val="ru-RU"/>
        </w:rPr>
        <w:t xml:space="preserve">ДК 021:2015 – </w:t>
      </w:r>
      <w:r w:rsidR="00763E74" w:rsidRPr="001F5509">
        <w:rPr>
          <w:rFonts w:ascii="Times New Roman" w:eastAsia="Times New Roman" w:hAnsi="Times New Roman" w:cs="Times New Roman"/>
          <w:b/>
          <w:sz w:val="24"/>
          <w:szCs w:val="32"/>
          <w:lang w:val="ru-RU"/>
        </w:rPr>
        <w:t>79710000-4  «</w:t>
      </w:r>
      <w:proofErr w:type="spellStart"/>
      <w:r w:rsidR="00763E74" w:rsidRPr="001F5509">
        <w:rPr>
          <w:rFonts w:ascii="Times New Roman" w:eastAsia="Times New Roman" w:hAnsi="Times New Roman" w:cs="Times New Roman"/>
          <w:b/>
          <w:sz w:val="24"/>
          <w:szCs w:val="32"/>
          <w:lang w:val="ru-RU"/>
        </w:rPr>
        <w:t>Охоронні</w:t>
      </w:r>
      <w:proofErr w:type="spellEnd"/>
      <w:r w:rsidR="00763E74" w:rsidRPr="001F5509">
        <w:rPr>
          <w:rFonts w:ascii="Times New Roman" w:eastAsia="Times New Roman" w:hAnsi="Times New Roman" w:cs="Times New Roman"/>
          <w:b/>
          <w:sz w:val="24"/>
          <w:szCs w:val="32"/>
          <w:lang w:val="ru-RU"/>
        </w:rPr>
        <w:t xml:space="preserve"> </w:t>
      </w:r>
      <w:proofErr w:type="spellStart"/>
      <w:r w:rsidR="00763E74" w:rsidRPr="001F5509">
        <w:rPr>
          <w:rFonts w:ascii="Times New Roman" w:eastAsia="Times New Roman" w:hAnsi="Times New Roman" w:cs="Times New Roman"/>
          <w:b/>
          <w:sz w:val="24"/>
          <w:szCs w:val="32"/>
          <w:lang w:val="ru-RU"/>
        </w:rPr>
        <w:t>послуги</w:t>
      </w:r>
      <w:proofErr w:type="spellEnd"/>
      <w:r w:rsidR="00763E74" w:rsidRPr="001F5509">
        <w:rPr>
          <w:rFonts w:ascii="Times New Roman" w:eastAsia="Times New Roman" w:hAnsi="Times New Roman" w:cs="Times New Roman"/>
          <w:b/>
          <w:sz w:val="24"/>
          <w:szCs w:val="32"/>
          <w:lang w:val="ru-RU"/>
        </w:rPr>
        <w:t>»</w:t>
      </w:r>
    </w:p>
    <w:p w:rsidR="00763E74" w:rsidRPr="001F5509" w:rsidRDefault="00763E74" w:rsidP="00763E74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auto"/>
          <w:sz w:val="20"/>
          <w:szCs w:val="24"/>
          <w:lang w:val="ru-RU"/>
        </w:rPr>
      </w:pPr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 xml:space="preserve"> «</w:t>
      </w:r>
      <w:proofErr w:type="spellStart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>Охорона</w:t>
      </w:r>
      <w:proofErr w:type="spellEnd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 xml:space="preserve"> </w:t>
      </w:r>
      <w:proofErr w:type="spellStart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>приміщень</w:t>
      </w:r>
      <w:proofErr w:type="spellEnd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 xml:space="preserve"> </w:t>
      </w:r>
      <w:proofErr w:type="spellStart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>бюджетних</w:t>
      </w:r>
      <w:proofErr w:type="spellEnd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 xml:space="preserve"> </w:t>
      </w:r>
      <w:proofErr w:type="spellStart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>установ</w:t>
      </w:r>
      <w:proofErr w:type="spellEnd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 xml:space="preserve"> та заходи </w:t>
      </w:r>
      <w:proofErr w:type="spellStart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>із</w:t>
      </w:r>
      <w:proofErr w:type="spellEnd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 xml:space="preserve"> </w:t>
      </w:r>
      <w:proofErr w:type="spellStart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>захисту</w:t>
      </w:r>
      <w:proofErr w:type="spellEnd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 xml:space="preserve"> </w:t>
      </w:r>
      <w:proofErr w:type="spellStart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>цих</w:t>
      </w:r>
      <w:proofErr w:type="spellEnd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 xml:space="preserve"> </w:t>
      </w:r>
      <w:proofErr w:type="spellStart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>приміщень</w:t>
      </w:r>
      <w:proofErr w:type="spellEnd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 xml:space="preserve"> (</w:t>
      </w:r>
      <w:proofErr w:type="spellStart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>Послуги</w:t>
      </w:r>
      <w:proofErr w:type="spellEnd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 xml:space="preserve"> </w:t>
      </w:r>
      <w:proofErr w:type="spellStart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>термінового</w:t>
      </w:r>
      <w:proofErr w:type="spellEnd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 xml:space="preserve"> </w:t>
      </w:r>
      <w:proofErr w:type="spellStart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>виїзду</w:t>
      </w:r>
      <w:proofErr w:type="spellEnd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 xml:space="preserve"> наряду </w:t>
      </w:r>
      <w:proofErr w:type="spellStart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>реагування</w:t>
      </w:r>
      <w:proofErr w:type="spellEnd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 xml:space="preserve"> на </w:t>
      </w:r>
      <w:proofErr w:type="spellStart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>повідомлення</w:t>
      </w:r>
      <w:proofErr w:type="spellEnd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 xml:space="preserve"> про </w:t>
      </w:r>
      <w:proofErr w:type="spellStart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>можливе</w:t>
      </w:r>
      <w:proofErr w:type="spellEnd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 xml:space="preserve"> </w:t>
      </w:r>
      <w:proofErr w:type="spellStart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>скоєння</w:t>
      </w:r>
      <w:proofErr w:type="spellEnd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 xml:space="preserve"> </w:t>
      </w:r>
      <w:proofErr w:type="spellStart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>правопорушення</w:t>
      </w:r>
      <w:proofErr w:type="spellEnd"/>
      <w:r w:rsidRPr="001F5509">
        <w:rPr>
          <w:rFonts w:ascii="Times New Roman" w:eastAsia="Times New Roman" w:hAnsi="Times New Roman" w:cs="Times New Roman"/>
          <w:i/>
          <w:color w:val="auto"/>
          <w:sz w:val="24"/>
          <w:szCs w:val="32"/>
          <w:lang w:val="ru-RU"/>
        </w:rPr>
        <w:t>)»</w:t>
      </w:r>
    </w:p>
    <w:p w:rsidR="00D72313" w:rsidRPr="007C599E" w:rsidRDefault="00D72313" w:rsidP="00372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15027" w:type="dxa"/>
        <w:tblInd w:w="-318" w:type="dxa"/>
        <w:tblLayout w:type="fixed"/>
        <w:tblLook w:val="04A0"/>
      </w:tblPr>
      <w:tblGrid>
        <w:gridCol w:w="7514"/>
        <w:gridCol w:w="7513"/>
      </w:tblGrid>
      <w:tr w:rsidR="00370C82" w:rsidRPr="00D72313" w:rsidTr="00F57617">
        <w:tc>
          <w:tcPr>
            <w:tcW w:w="7514" w:type="dxa"/>
          </w:tcPr>
          <w:p w:rsidR="00370C82" w:rsidRPr="00D72313" w:rsidRDefault="00370C82" w:rsidP="00372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Було</w:t>
            </w:r>
          </w:p>
        </w:tc>
        <w:tc>
          <w:tcPr>
            <w:tcW w:w="7513" w:type="dxa"/>
          </w:tcPr>
          <w:p w:rsidR="00370C82" w:rsidRPr="00D72313" w:rsidRDefault="00370C82" w:rsidP="00372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23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Стало</w:t>
            </w:r>
          </w:p>
        </w:tc>
      </w:tr>
      <w:tr w:rsidR="00AF20AF" w:rsidRPr="00F57617" w:rsidTr="00F57617">
        <w:tc>
          <w:tcPr>
            <w:tcW w:w="7514" w:type="dxa"/>
          </w:tcPr>
          <w:p w:rsidR="001F5509" w:rsidRPr="00F57617" w:rsidRDefault="001F5509" w:rsidP="00763E74">
            <w:pPr>
              <w:tabs>
                <w:tab w:val="left" w:pos="376"/>
                <w:tab w:val="left" w:pos="6839"/>
                <w:tab w:val="left" w:pos="7277"/>
              </w:tabs>
              <w:ind w:right="176" w:firstLine="176"/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7513" w:type="dxa"/>
          </w:tcPr>
          <w:p w:rsidR="00AF20AF" w:rsidRPr="00763E74" w:rsidRDefault="00AF20AF" w:rsidP="00763E74">
            <w:pPr>
              <w:tabs>
                <w:tab w:val="left" w:pos="373"/>
                <w:tab w:val="left" w:pos="6839"/>
                <w:tab w:val="left" w:pos="7277"/>
              </w:tabs>
              <w:ind w:right="176" w:firstLine="175"/>
              <w:jc w:val="both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</w:tr>
      <w:tr w:rsidR="003D11DE" w:rsidRPr="003D11DE" w:rsidTr="004973F3">
        <w:trPr>
          <w:trHeight w:val="47"/>
        </w:trPr>
        <w:tc>
          <w:tcPr>
            <w:tcW w:w="7514" w:type="dxa"/>
          </w:tcPr>
          <w:p w:rsidR="003D11DE" w:rsidRPr="003D11DE" w:rsidRDefault="003D11DE" w:rsidP="003D11DE">
            <w:pPr>
              <w:tabs>
                <w:tab w:val="left" w:pos="6379"/>
              </w:tabs>
              <w:jc w:val="right"/>
              <w:rPr>
                <w:rFonts w:ascii="Times New Roman" w:hAnsi="Times New Roman" w:cs="Times New Roman"/>
                <w:sz w:val="18"/>
                <w:szCs w:val="20"/>
                <w:highlight w:val="yellow"/>
                <w:lang w:val="uk-UA"/>
              </w:rPr>
            </w:pPr>
            <w:r w:rsidRPr="003D11DE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Додаток 2</w:t>
            </w:r>
            <w:r w:rsidRPr="003D11DE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br/>
            </w:r>
            <w:r w:rsidRPr="003D11DE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до тендерної документації (зі змінами)</w:t>
            </w:r>
          </w:p>
          <w:p w:rsidR="003D11DE" w:rsidRPr="003D11DE" w:rsidRDefault="003D11DE" w:rsidP="003D11D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uk-UA" w:eastAsia="ru-RU"/>
              </w:rPr>
            </w:pPr>
            <w:r w:rsidRPr="003D11DE">
              <w:rPr>
                <w:rFonts w:ascii="Times New Roman" w:eastAsia="Times New Roman" w:hAnsi="Times New Roman"/>
                <w:b/>
                <w:sz w:val="18"/>
                <w:szCs w:val="20"/>
                <w:lang w:val="uk-UA" w:eastAsia="ru-RU"/>
              </w:rPr>
              <w:t>ТЕХНІЧНЕ ЗАВДАННЯ ДО ПРЕДМЕТУ ЗАКУПІВЛІ</w:t>
            </w:r>
          </w:p>
          <w:p w:rsidR="003D11DE" w:rsidRPr="003D11DE" w:rsidRDefault="003D11DE" w:rsidP="003D11D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uk-UA" w:eastAsia="ru-RU"/>
              </w:rPr>
            </w:pPr>
            <w:r w:rsidRPr="003D11DE">
              <w:rPr>
                <w:rFonts w:ascii="Times New Roman" w:eastAsia="Times New Roman" w:hAnsi="Times New Roman"/>
                <w:b/>
                <w:sz w:val="18"/>
                <w:szCs w:val="20"/>
                <w:lang w:val="uk-UA" w:eastAsia="ru-RU"/>
              </w:rPr>
              <w:t>«Послуги термінового виїзду наряду реагування на повідомлення про можливе скоєння правопорушення»</w:t>
            </w:r>
          </w:p>
          <w:p w:rsidR="003D11DE" w:rsidRPr="003D11DE" w:rsidRDefault="003D11DE" w:rsidP="003D11DE">
            <w:pPr>
              <w:numPr>
                <w:ilvl w:val="0"/>
                <w:numId w:val="20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>Послуги повинні надаватися учасником відповідно до вимог Закону України «Про охоронну діяльність» від 22.03.2012 №4616-17 (із змінами), постанов Кабінету Міністрів України від 18.11.2015 №960 «Про затвердження Ліцензійних умов провадження охоронної діяльності» та від 11.02.2013 №97 «Про затвердження переліку спеціальних засобів, придбання, зберігання та використання яких здійснюється суб’єктами охоронної діяльності», ЗУ «Про національну поліцію» та інших нормативно-правових актів в сфері надання охоронних послуг</w:t>
            </w:r>
          </w:p>
          <w:p w:rsidR="003D11DE" w:rsidRPr="003D11DE" w:rsidRDefault="003D11DE" w:rsidP="003D11DE">
            <w:pPr>
              <w:numPr>
                <w:ilvl w:val="0"/>
                <w:numId w:val="20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 xml:space="preserve">Надання послуг забезпечується шляхом підключення на пульт центрального спостереження (далі – ПЦС) учасника встановлених на об’єктах замовника засобів охоронної (тривожної) сигналізації та тривожної кнопки (по дзвінку), здійснення спостереження за </w:t>
            </w:r>
            <w:r w:rsidRPr="003D11DE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FFFFF"/>
                <w:lang w:val="uk-UA"/>
              </w:rPr>
              <w:t>станом систем передавання тривожних сповіщень</w:t>
            </w: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 xml:space="preserve"> та реагування (безпосереднього виїзду) на об’єкт охорони, у разі надходження на ПЦС сигналу тривоги. Результати виїзду повідомляються замовнику об’єкта. </w:t>
            </w:r>
          </w:p>
          <w:p w:rsidR="003D11DE" w:rsidRPr="003D11DE" w:rsidRDefault="003D11DE" w:rsidP="003D11DE">
            <w:pPr>
              <w:numPr>
                <w:ilvl w:val="0"/>
                <w:numId w:val="20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Можливість підтримки охоронників за допомогою чергових груп.</w:t>
            </w:r>
          </w:p>
          <w:p w:rsidR="003D11DE" w:rsidRPr="003D11DE" w:rsidRDefault="003D11DE" w:rsidP="003D11DE">
            <w:pPr>
              <w:numPr>
                <w:ilvl w:val="0"/>
                <w:numId w:val="20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Охоронники повинні бути забезпечені:</w:t>
            </w:r>
          </w:p>
          <w:p w:rsidR="003D11DE" w:rsidRPr="003D11DE" w:rsidRDefault="003D11DE" w:rsidP="003D11DE">
            <w:pPr>
              <w:tabs>
                <w:tab w:val="left" w:pos="993"/>
              </w:tabs>
              <w:spacing w:after="20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- форменим одягом,на  одязі повинен бути ознак належності до відповідного суб’єкта охоронної діяльності згідно з його статутними документами;</w:t>
            </w:r>
          </w:p>
          <w:p w:rsidR="003D11DE" w:rsidRPr="003D11DE" w:rsidRDefault="003D11DE" w:rsidP="003D11DE">
            <w:pPr>
              <w:tabs>
                <w:tab w:val="left" w:pos="993"/>
              </w:tabs>
              <w:spacing w:after="20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- спецзасобами та зв’язком;</w:t>
            </w:r>
          </w:p>
          <w:p w:rsidR="003D11DE" w:rsidRPr="003D11DE" w:rsidRDefault="003D11DE" w:rsidP="003D11DE">
            <w:pPr>
              <w:numPr>
                <w:ilvl w:val="0"/>
                <w:numId w:val="20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 xml:space="preserve">Охоронники повинні вести документацію встановленого зразка (згідно з Договором). </w:t>
            </w:r>
          </w:p>
          <w:p w:rsidR="003D11DE" w:rsidRPr="003D11DE" w:rsidRDefault="003D11DE" w:rsidP="003D11DE">
            <w:pPr>
              <w:numPr>
                <w:ilvl w:val="0"/>
                <w:numId w:val="20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Виконавець повинен відшкодовувати Замовнику збитки, заподіяні не належним виконанням обов’язків згідно з Договором. При цьому Замовник надає відповідні документи компетентних державних органів (згідно умов Договору).</w:t>
            </w:r>
          </w:p>
          <w:p w:rsidR="003D11DE" w:rsidRPr="003D11DE" w:rsidRDefault="003D11DE" w:rsidP="003D11DE">
            <w:pPr>
              <w:numPr>
                <w:ilvl w:val="0"/>
                <w:numId w:val="20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Для Виконавця обов’язковою є наявність централізованого пункту охорони, з можливістю допуску до нього представників Замовника.</w:t>
            </w:r>
          </w:p>
          <w:p w:rsidR="003D11DE" w:rsidRPr="003D11DE" w:rsidRDefault="003D11DE" w:rsidP="003D11DE">
            <w:pPr>
              <w:numPr>
                <w:ilvl w:val="0"/>
                <w:numId w:val="20"/>
              </w:numPr>
              <w:tabs>
                <w:tab w:val="left" w:pos="373"/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hAnsi="Times New Roman"/>
                <w:kern w:val="1"/>
                <w:sz w:val="18"/>
                <w:szCs w:val="20"/>
                <w:lang w:val="uk-UA" w:eastAsia="zh-CN"/>
              </w:rPr>
              <w:t>Довідка, що підтверджує наявність зброї, спеціальних засобів індивідуального захисту (гумові кийки, газові балончики з аерозолями сльозоточивої та дратівної дії, засобів зв’язку, форменого одягу, тощо).</w:t>
            </w:r>
          </w:p>
          <w:p w:rsidR="003D11DE" w:rsidRPr="003D11DE" w:rsidRDefault="003D11DE" w:rsidP="003D11DE">
            <w:pPr>
              <w:numPr>
                <w:ilvl w:val="0"/>
                <w:numId w:val="20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 xml:space="preserve">Виконавець зобов’язаний, у разі виникнення позаштатної ситуації, встановлення факту </w:t>
            </w:r>
            <w:proofErr w:type="spellStart"/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,  загрози терористичного акту направити групу реагування та охоронців фізичної безпеки»  для стабілізації ситуації з одночасним оповіщенням Замовника.</w:t>
            </w:r>
          </w:p>
          <w:p w:rsidR="003D11DE" w:rsidRPr="003D11DE" w:rsidRDefault="003D11DE" w:rsidP="003D11DE">
            <w:pPr>
              <w:tabs>
                <w:tab w:val="left" w:pos="993"/>
                <w:tab w:val="left" w:pos="1134"/>
              </w:tabs>
              <w:spacing w:after="20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 xml:space="preserve">Службовий автотранспорт Замовника повинен бути обладнаний системою </w:t>
            </w:r>
            <w:r w:rsidRPr="003D11DE">
              <w:rPr>
                <w:rFonts w:ascii="Times New Roman" w:eastAsia="Calibri" w:hAnsi="Times New Roman" w:cs="Times New Roman"/>
                <w:sz w:val="18"/>
                <w:szCs w:val="20"/>
              </w:rPr>
              <w:t>GPS</w:t>
            </w: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>навігації.</w:t>
            </w:r>
          </w:p>
          <w:p w:rsidR="003D11DE" w:rsidRPr="003D11DE" w:rsidRDefault="003D11DE" w:rsidP="003D11DE">
            <w:pPr>
              <w:numPr>
                <w:ilvl w:val="0"/>
                <w:numId w:val="20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lastRenderedPageBreak/>
              <w:t>Не розголошувати стороннім особам конфіденційну інформацію, до якої відноситься: пультові коди, системи сигналізації, системи зв’язку і контролю за здійсненням охорони.</w:t>
            </w:r>
          </w:p>
          <w:p w:rsidR="003D11DE" w:rsidRPr="003D11DE" w:rsidRDefault="003D11DE" w:rsidP="003D11DE">
            <w:pPr>
              <w:numPr>
                <w:ilvl w:val="0"/>
                <w:numId w:val="20"/>
              </w:numPr>
              <w:tabs>
                <w:tab w:val="left" w:pos="993"/>
              </w:tabs>
              <w:spacing w:after="200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Наявність цілодобової диспетчерської служби із зазначенням номера телефону такої служби.</w:t>
            </w:r>
          </w:p>
          <w:p w:rsidR="003D11DE" w:rsidRPr="003D11DE" w:rsidRDefault="003D11DE" w:rsidP="003D11DE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 xml:space="preserve">12. У разі надходження на пульт централізованого спостереження сигналу про спрацювання сигналізації або тривожної кнопки (по дзвінку) на об’єкті в період охорони, </w:t>
            </w:r>
            <w:r w:rsidRPr="003D11DE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FFFFF"/>
                <w:lang w:val="uk-UA" w:eastAsia="uk-UA"/>
              </w:rPr>
              <w:t>забезпечити</w:t>
            </w: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 xml:space="preserve"> прибуття працівників групи реагування (наряду охорони) </w:t>
            </w:r>
            <w:r w:rsidRPr="003D11DE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FFFFF"/>
                <w:lang w:val="uk-UA" w:eastAsia="uk-UA"/>
              </w:rPr>
              <w:t>на об’єкт у нічний час – не більше, ніж за 5 хвилин, у денний – не більше, ніж за 7 хвилин з моменту надходження тривожного сповіщення;</w:t>
            </w:r>
          </w:p>
          <w:p w:rsidR="003D11DE" w:rsidRPr="003D11DE" w:rsidRDefault="003D11DE" w:rsidP="003D11DE">
            <w:pPr>
              <w:numPr>
                <w:ilvl w:val="0"/>
                <w:numId w:val="21"/>
              </w:numPr>
              <w:tabs>
                <w:tab w:val="left" w:pos="426"/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>На підприємстві повинен проводитись інструктаж особового складу з охорони праці та протипожежної безпеки (копії витягів з протоколів засідання комісії з перевірки знання з охорони праці та пожежної безпеки повинні бути дійсні на весь період надання послуг);</w:t>
            </w:r>
          </w:p>
          <w:p w:rsidR="003D11DE" w:rsidRPr="003D11DE" w:rsidRDefault="003D11DE" w:rsidP="003D11DE">
            <w:pPr>
              <w:numPr>
                <w:ilvl w:val="0"/>
                <w:numId w:val="21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Виконавець повинен забезпечити офіційне працевлаштування охоронників та технічних фахівців відповідно до законодавства, на підтвердження чого надає у складі пропозиції копії відповідних наказів про прийняття на роботу.</w:t>
            </w:r>
          </w:p>
          <w:p w:rsidR="003D11DE" w:rsidRPr="003D11DE" w:rsidRDefault="003D11DE" w:rsidP="003D11DE">
            <w:pPr>
              <w:numPr>
                <w:ilvl w:val="0"/>
                <w:numId w:val="21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 xml:space="preserve">Досвід роботи по охороні об’єктів не менше 2 років, та на ринку охоронних послуг – не менше 2 років. </w:t>
            </w:r>
          </w:p>
          <w:p w:rsidR="003D11DE" w:rsidRPr="003D11DE" w:rsidRDefault="003D11DE" w:rsidP="003D11DE">
            <w:pPr>
              <w:numPr>
                <w:ilvl w:val="0"/>
                <w:numId w:val="21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 xml:space="preserve">Учасник зобов’язується зазначати вартість послуг  з урахуванням всіх податків та зборів, а також інших витрат, що необхідні для надання послуг на умовах цієї тендерної документації. </w:t>
            </w:r>
          </w:p>
          <w:p w:rsidR="003D11DE" w:rsidRPr="003D11DE" w:rsidRDefault="003D11DE" w:rsidP="003D11DE">
            <w:pPr>
              <w:numPr>
                <w:ilvl w:val="0"/>
                <w:numId w:val="21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Вартість закупівлі повинна включати в себе вартість оренди додаткового обладнання та комунікацій (підключення послуги), якщо вони будуть необхідні для надання послуги.</w:t>
            </w:r>
          </w:p>
          <w:p w:rsidR="003D11DE" w:rsidRPr="003D11DE" w:rsidRDefault="003D11DE" w:rsidP="003D11DE">
            <w:pPr>
              <w:numPr>
                <w:ilvl w:val="0"/>
                <w:numId w:val="21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 xml:space="preserve">Надання необхідного обладнання для охоплення всіх закладів здійснюється на безоплатній основі на час дії договору,  наявність обладнання підтверджується </w:t>
            </w:r>
            <w:proofErr w:type="spellStart"/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оборотно-</w:t>
            </w:r>
            <w:proofErr w:type="spellEnd"/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 xml:space="preserve"> сальдовими відомостями на момент надання тендерних пропозицій.</w:t>
            </w:r>
          </w:p>
          <w:p w:rsidR="003D11DE" w:rsidRPr="003D11DE" w:rsidRDefault="003D11DE" w:rsidP="003D11DE">
            <w:pPr>
              <w:numPr>
                <w:ilvl w:val="0"/>
                <w:numId w:val="21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Виконавець повинен надати необхідне обладнання для передачі тривожних сповіщень на пульт в безоплатне користування</w:t>
            </w: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 xml:space="preserve"> на час дії договору. Наявність обладнання на момент участі у  процедурі підтвердити .</w:t>
            </w:r>
          </w:p>
          <w:p w:rsidR="003D11DE" w:rsidRPr="003D11DE" w:rsidRDefault="003D11DE" w:rsidP="003D11DE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20</w:t>
            </w:r>
            <w:r w:rsidRPr="003D11DE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20"/>
                <w:lang w:val="uk-UA" w:eastAsia="ru-RU"/>
              </w:rPr>
              <w:t xml:space="preserve">.  </w:t>
            </w: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>У разі надходження на ПЦС сигналу про спрацювання сигналізації на Об’єкті в період охорони:</w:t>
            </w:r>
          </w:p>
          <w:p w:rsidR="003D11DE" w:rsidRPr="003D11DE" w:rsidRDefault="003D11DE" w:rsidP="003D11DE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>- негайно направляти мобільну групу на Об’єкт для вжиття заходів, спрямованих на встановлення причин спрацювання сигналізації;</w:t>
            </w:r>
          </w:p>
          <w:p w:rsidR="003D11DE" w:rsidRPr="003D11DE" w:rsidRDefault="003D11DE" w:rsidP="003D11DE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20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color w:val="FF0000"/>
                <w:sz w:val="18"/>
                <w:szCs w:val="20"/>
                <w:lang w:val="uk-UA"/>
              </w:rPr>
              <w:t xml:space="preserve">- в разі необхідності здійснювати адміністративне затримання особи; </w:t>
            </w:r>
          </w:p>
          <w:p w:rsidR="003D11DE" w:rsidRPr="003D11DE" w:rsidRDefault="003D11DE" w:rsidP="003D11DE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>- в разі необхідності сповістити Замовника або його уповноважену особу про спрацювання сигналізації на Об’єкті з метою виявлення причин спрацювання сигналізації;</w:t>
            </w:r>
          </w:p>
          <w:p w:rsidR="003D11DE" w:rsidRPr="003D11DE" w:rsidRDefault="003D11DE" w:rsidP="003D11DE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ru-RU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>- в разі виявлення слідів проникнення на Об’єкт або спроб проникнення на Об’єкт сповістити про це Замовника;</w:t>
            </w:r>
          </w:p>
          <w:p w:rsidR="003D11DE" w:rsidRPr="003D11DE" w:rsidRDefault="003D11DE" w:rsidP="003D11DE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>- в разі виявлення на Об’єкті в період охорони будь-яких осіб вжити заходів щодо їх затримання  та передачі правоохоронним органам;</w:t>
            </w:r>
          </w:p>
          <w:p w:rsidR="003D11DE" w:rsidRPr="003D11DE" w:rsidRDefault="003D11DE" w:rsidP="003D11DE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>- забезпечити охорону майна на Об’єкті після спрацювання сигналізації до прибуття на Об’єкт Замовника, але не більше 1-ї години з моменту попередження Замовника</w:t>
            </w:r>
          </w:p>
          <w:p w:rsidR="003D11DE" w:rsidRPr="003D11DE" w:rsidRDefault="003D11DE" w:rsidP="003D11DE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>- якісно та своєчасно, в технічно можливий строк, ліквідовувати несправності, які можуть бути усунуті безпосередньо за місцем знаходження сигналізації, за заявкою Замовника.</w:t>
            </w:r>
          </w:p>
          <w:p w:rsidR="003D11DE" w:rsidRPr="003D11DE" w:rsidRDefault="003D11DE" w:rsidP="003D11DE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>- повідомляти в чергову частину поліції і Замовника про факт порушення цілісності Об’єкта або збитки, заподіяні пошкодженням майна, що охороняється. До прибуття представників територіального підрозділу поліції забезпечувати недоторканість місця події.</w:t>
            </w:r>
          </w:p>
          <w:p w:rsidR="003D11DE" w:rsidRPr="003D11DE" w:rsidRDefault="003D11DE" w:rsidP="004973F3">
            <w:pPr>
              <w:tabs>
                <w:tab w:val="left" w:pos="602"/>
              </w:tabs>
              <w:ind w:right="176" w:firstLine="318"/>
              <w:jc w:val="both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7513" w:type="dxa"/>
          </w:tcPr>
          <w:p w:rsidR="003D11DE" w:rsidRPr="003D11DE" w:rsidRDefault="003D11DE" w:rsidP="00676C1F">
            <w:pPr>
              <w:tabs>
                <w:tab w:val="left" w:pos="6379"/>
              </w:tabs>
              <w:jc w:val="right"/>
              <w:rPr>
                <w:rFonts w:ascii="Times New Roman" w:hAnsi="Times New Roman" w:cs="Times New Roman"/>
                <w:sz w:val="18"/>
                <w:szCs w:val="20"/>
                <w:highlight w:val="yellow"/>
                <w:lang w:val="uk-UA"/>
              </w:rPr>
            </w:pPr>
            <w:r w:rsidRPr="003D11DE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lastRenderedPageBreak/>
              <w:t>Додаток 2</w:t>
            </w:r>
            <w:r w:rsidRPr="003D11DE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br/>
            </w:r>
            <w:r w:rsidRPr="003D11DE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до тендерної документації (зі змінами)</w:t>
            </w:r>
          </w:p>
          <w:p w:rsidR="003D11DE" w:rsidRPr="003D11DE" w:rsidRDefault="003D11DE" w:rsidP="00676C1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uk-UA" w:eastAsia="ru-RU"/>
              </w:rPr>
            </w:pPr>
            <w:r w:rsidRPr="003D11DE">
              <w:rPr>
                <w:rFonts w:ascii="Times New Roman" w:eastAsia="Times New Roman" w:hAnsi="Times New Roman"/>
                <w:b/>
                <w:sz w:val="18"/>
                <w:szCs w:val="20"/>
                <w:lang w:val="uk-UA" w:eastAsia="ru-RU"/>
              </w:rPr>
              <w:t>ТЕХНІЧНЕ ЗАВДАННЯ ДО ПРЕДМЕТУ ЗАКУПІВЛІ</w:t>
            </w:r>
          </w:p>
          <w:p w:rsidR="003D11DE" w:rsidRPr="003D11DE" w:rsidRDefault="003D11DE" w:rsidP="00676C1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uk-UA" w:eastAsia="ru-RU"/>
              </w:rPr>
            </w:pPr>
            <w:r w:rsidRPr="003D11DE">
              <w:rPr>
                <w:rFonts w:ascii="Times New Roman" w:eastAsia="Times New Roman" w:hAnsi="Times New Roman"/>
                <w:b/>
                <w:sz w:val="18"/>
                <w:szCs w:val="20"/>
                <w:lang w:val="uk-UA" w:eastAsia="ru-RU"/>
              </w:rPr>
              <w:t>«Послуги термінового виїзду наряду реагування на повідомлення про можливе скоєння правопорушення»</w:t>
            </w:r>
          </w:p>
          <w:p w:rsidR="003D11DE" w:rsidRPr="003D11DE" w:rsidRDefault="003D11DE" w:rsidP="003D11DE">
            <w:pPr>
              <w:numPr>
                <w:ilvl w:val="0"/>
                <w:numId w:val="30"/>
              </w:numPr>
              <w:tabs>
                <w:tab w:val="left" w:pos="993"/>
              </w:tabs>
              <w:spacing w:after="200" w:line="276" w:lineRule="auto"/>
              <w:ind w:left="34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>Послуги повинні надаватися учасником відповідно до вимог Закону України «Про охоронну діяльність» від 22.03.2012 №4616-17 (із змінами), постанов Кабінету Міністрів України від 18.11.2015 №960 «Про затвердження Ліцензійних умов провадження охоронної діяльності» та від 11.02.2013 №97 «Про затвердження переліку спеціальних засобів, придбання, зберігання та використання яких здійснюється суб’єктами охоронної діяльності», ЗУ «Про національну поліцію» та інших нормативно-правових актів в сфері надання охоронних послуг</w:t>
            </w: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>.</w:t>
            </w:r>
          </w:p>
          <w:p w:rsidR="003D11DE" w:rsidRPr="003D11DE" w:rsidRDefault="003D11DE" w:rsidP="003D11DE">
            <w:pPr>
              <w:numPr>
                <w:ilvl w:val="0"/>
                <w:numId w:val="30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 xml:space="preserve">Надання послуг забезпечується шляхом підключення на пульт центрального спостереження (далі – ПЦС) учасника встановлених на об’єктах замовника засобів охоронної (тривожної) сигналізації та тривожної кнопки (по дзвінку), здійснення спостереження за </w:t>
            </w:r>
            <w:r w:rsidRPr="003D11DE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FFFFF"/>
                <w:lang w:val="uk-UA"/>
              </w:rPr>
              <w:t>станом систем передавання тривожних сповіщень</w:t>
            </w: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 xml:space="preserve"> та реагування (безпосереднього виїзду) на об’єкт охорони, у разі надходження на ПЦС сигналу тривоги. Результати виїзду повідомляються замовнику об’єкта. </w:t>
            </w:r>
          </w:p>
          <w:p w:rsidR="003D11DE" w:rsidRPr="003D11DE" w:rsidRDefault="003D11DE" w:rsidP="003D11DE">
            <w:pPr>
              <w:numPr>
                <w:ilvl w:val="0"/>
                <w:numId w:val="30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Можливість підтримки охоронників за допомогою чергових груп.</w:t>
            </w:r>
          </w:p>
          <w:p w:rsidR="003D11DE" w:rsidRPr="003D11DE" w:rsidRDefault="003D11DE" w:rsidP="003D11DE">
            <w:pPr>
              <w:numPr>
                <w:ilvl w:val="0"/>
                <w:numId w:val="30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Охоронники повинні бути забезпечені:</w:t>
            </w:r>
          </w:p>
          <w:p w:rsidR="003D11DE" w:rsidRPr="003D11DE" w:rsidRDefault="003D11DE" w:rsidP="00676C1F">
            <w:pPr>
              <w:tabs>
                <w:tab w:val="left" w:pos="993"/>
              </w:tabs>
              <w:spacing w:after="20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- форменим одягом,на  одязі повинен бути ознак належності до відповідного суб’єкта охоронної діяльності згідно з його статутними документами;</w:t>
            </w:r>
          </w:p>
          <w:p w:rsidR="003D11DE" w:rsidRPr="003D11DE" w:rsidRDefault="003D11DE" w:rsidP="00676C1F">
            <w:pPr>
              <w:tabs>
                <w:tab w:val="left" w:pos="993"/>
              </w:tabs>
              <w:spacing w:after="20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- спецзасобами та зв’язком;</w:t>
            </w:r>
          </w:p>
          <w:p w:rsidR="003D11DE" w:rsidRPr="003D11DE" w:rsidRDefault="003D11DE" w:rsidP="003D11DE">
            <w:pPr>
              <w:numPr>
                <w:ilvl w:val="0"/>
                <w:numId w:val="30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 xml:space="preserve">Охоронники повинні вести документацію встановленого зразка (згідно з Договором). </w:t>
            </w:r>
          </w:p>
          <w:p w:rsidR="003D11DE" w:rsidRPr="003D11DE" w:rsidRDefault="003D11DE" w:rsidP="003D11DE">
            <w:pPr>
              <w:numPr>
                <w:ilvl w:val="0"/>
                <w:numId w:val="30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Виконавець повинен відшкодовувати Замовнику збитки, заподіяні не належним виконанням обов’язків згідно з Договором. При цьому Замовник надає відповідні документи компетентних державних органів (згідно умов Договору).</w:t>
            </w:r>
          </w:p>
          <w:p w:rsidR="003D11DE" w:rsidRPr="003D11DE" w:rsidRDefault="003D11DE" w:rsidP="003D11DE">
            <w:pPr>
              <w:numPr>
                <w:ilvl w:val="0"/>
                <w:numId w:val="30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Для Виконавця обов’язковою є наявність централізованого пункту охорони, з можливістю допуску до нього представників Замовника.</w:t>
            </w:r>
          </w:p>
          <w:p w:rsidR="003D11DE" w:rsidRPr="003D11DE" w:rsidRDefault="003D11DE" w:rsidP="003D11DE">
            <w:pPr>
              <w:numPr>
                <w:ilvl w:val="0"/>
                <w:numId w:val="30"/>
              </w:numPr>
              <w:tabs>
                <w:tab w:val="left" w:pos="373"/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hAnsi="Times New Roman"/>
                <w:kern w:val="1"/>
                <w:sz w:val="18"/>
                <w:szCs w:val="20"/>
                <w:lang w:val="uk-UA" w:eastAsia="zh-CN"/>
              </w:rPr>
              <w:t>Довідка, що підтверджує наявність зброї, спеціальних засобів індивідуального захисту (гумові кийки, газові балончики з аерозолями сльозоточивої та дратівної дії, засобів зв’язку, форменого одягу, тощо).</w:t>
            </w:r>
          </w:p>
          <w:p w:rsidR="003D11DE" w:rsidRPr="003D11DE" w:rsidRDefault="003D11DE" w:rsidP="003D11DE">
            <w:pPr>
              <w:numPr>
                <w:ilvl w:val="0"/>
                <w:numId w:val="30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 xml:space="preserve">Виконавець зобов’язаний, у разі виникнення позаштатної ситуації, встановлення факту </w:t>
            </w:r>
            <w:proofErr w:type="spellStart"/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,  загрози терористичного акту направити групу реагування та охоронців фізичної безпеки»  для стабілізації ситуації з одночасним оповіщенням Замовника.</w:t>
            </w:r>
          </w:p>
          <w:p w:rsidR="003D11DE" w:rsidRPr="003D11DE" w:rsidRDefault="003D11DE" w:rsidP="00676C1F">
            <w:pPr>
              <w:tabs>
                <w:tab w:val="left" w:pos="993"/>
                <w:tab w:val="left" w:pos="1134"/>
              </w:tabs>
              <w:spacing w:after="20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 xml:space="preserve">Службовий автотранспорт Замовника повинен бути обладнаний системою </w:t>
            </w:r>
            <w:r w:rsidRPr="003D11DE">
              <w:rPr>
                <w:rFonts w:ascii="Times New Roman" w:eastAsia="Calibri" w:hAnsi="Times New Roman" w:cs="Times New Roman"/>
                <w:sz w:val="18"/>
                <w:szCs w:val="20"/>
              </w:rPr>
              <w:t>GPS</w:t>
            </w: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>навігації.</w:t>
            </w:r>
          </w:p>
          <w:p w:rsidR="003D11DE" w:rsidRPr="003D11DE" w:rsidRDefault="003D11DE" w:rsidP="003D11DE">
            <w:pPr>
              <w:numPr>
                <w:ilvl w:val="0"/>
                <w:numId w:val="30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lastRenderedPageBreak/>
              <w:t>Не розголошувати стороннім особам конфіденційну інформацію, до якої відноситься: пультові коди, системи сигналізації, системи зв’язку і контролю за здійсненням охорони.</w:t>
            </w:r>
          </w:p>
          <w:p w:rsidR="003D11DE" w:rsidRPr="003D11DE" w:rsidRDefault="003D11DE" w:rsidP="003D11DE">
            <w:pPr>
              <w:numPr>
                <w:ilvl w:val="0"/>
                <w:numId w:val="30"/>
              </w:numPr>
              <w:tabs>
                <w:tab w:val="left" w:pos="993"/>
              </w:tabs>
              <w:spacing w:after="200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Наявність цілодобової диспетчерської служби із зазначенням номера телефону такої служби.</w:t>
            </w:r>
          </w:p>
          <w:p w:rsidR="003D11DE" w:rsidRPr="003D11DE" w:rsidRDefault="003D11DE" w:rsidP="00676C1F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 xml:space="preserve">12. У разі надходження на пульт централізованого спостереження сигналу про спрацювання сигналізації або тривожної кнопки (по дзвінку) на об’єкті в період охорони, </w:t>
            </w:r>
            <w:r w:rsidRPr="003D11DE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FFFFF"/>
                <w:lang w:val="uk-UA" w:eastAsia="uk-UA"/>
              </w:rPr>
              <w:t>забезпечити</w:t>
            </w: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 xml:space="preserve"> прибуття працівників групи реагування (наряду охорони) </w:t>
            </w:r>
            <w:r w:rsidRPr="003D11DE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FFFFF"/>
                <w:lang w:val="uk-UA" w:eastAsia="uk-UA"/>
              </w:rPr>
              <w:t>на об’єкт у нічний час – не більше, ніж за 5 хвилин, у денний – не більше, ніж за 7 хвилин з моменту надходження тривожного сповіщення;</w:t>
            </w:r>
          </w:p>
          <w:p w:rsidR="003D11DE" w:rsidRPr="003D11DE" w:rsidRDefault="003D11DE" w:rsidP="00676C1F">
            <w:pPr>
              <w:numPr>
                <w:ilvl w:val="0"/>
                <w:numId w:val="21"/>
              </w:numPr>
              <w:tabs>
                <w:tab w:val="left" w:pos="426"/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>На підприємстві повинен проводитись інструктаж особового складу з охорони праці та протипожежної безпеки (копії витягів з протоколів засідання комісії з перевірки знання з охорони праці та пожежної безпеки повинні бути дійсні на весь період надання послуг);</w:t>
            </w:r>
          </w:p>
          <w:p w:rsidR="003D11DE" w:rsidRPr="003D11DE" w:rsidRDefault="003D11DE" w:rsidP="00676C1F">
            <w:pPr>
              <w:numPr>
                <w:ilvl w:val="0"/>
                <w:numId w:val="21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Виконавець повинен забезпечити офіційне працевлаштування охоронників та технічних фахівців відповідно до законодавства, на підтвердження чого надає у складі пропозиції копії відповідних наказів про прийняття на роботу.</w:t>
            </w:r>
          </w:p>
          <w:p w:rsidR="003D11DE" w:rsidRPr="003D11DE" w:rsidRDefault="003D11DE" w:rsidP="00676C1F">
            <w:pPr>
              <w:numPr>
                <w:ilvl w:val="0"/>
                <w:numId w:val="21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 xml:space="preserve">Досвід роботи по охороні об’єктів не менше 2 років, та на ринку охоронних послуг – не менше 2 років. </w:t>
            </w:r>
          </w:p>
          <w:p w:rsidR="003D11DE" w:rsidRPr="003D11DE" w:rsidRDefault="003D11DE" w:rsidP="00676C1F">
            <w:pPr>
              <w:numPr>
                <w:ilvl w:val="0"/>
                <w:numId w:val="21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 xml:space="preserve">Учасник зобов’язується зазначати вартість послуг  з урахуванням всіх податків та зборів, а також інших витрат, що необхідні для надання послуг на умовах цієї тендерної документації. </w:t>
            </w:r>
          </w:p>
          <w:p w:rsidR="003D11DE" w:rsidRPr="003D11DE" w:rsidRDefault="003D11DE" w:rsidP="00676C1F">
            <w:pPr>
              <w:numPr>
                <w:ilvl w:val="0"/>
                <w:numId w:val="21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Вартість закупівлі повинна включати в себе вартість оренди додаткового обладнання та комунікацій (підключення послуги), якщо вони будуть необхідні для надання послуги.</w:t>
            </w:r>
          </w:p>
          <w:p w:rsidR="003D11DE" w:rsidRPr="003D11DE" w:rsidRDefault="003D11DE" w:rsidP="00676C1F">
            <w:pPr>
              <w:numPr>
                <w:ilvl w:val="0"/>
                <w:numId w:val="21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 xml:space="preserve">Надання необхідного обладнання для охоплення всіх закладів здійснюється на безоплатній основі на час дії договору,  наявність обладнання підтверджується </w:t>
            </w:r>
            <w:proofErr w:type="spellStart"/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оборотно-</w:t>
            </w:r>
            <w:proofErr w:type="spellEnd"/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 xml:space="preserve"> сальдовими відомостями на момент надання тендерних пропозицій.</w:t>
            </w:r>
          </w:p>
          <w:p w:rsidR="003D11DE" w:rsidRPr="003D11DE" w:rsidRDefault="003D11DE" w:rsidP="00676C1F">
            <w:pPr>
              <w:numPr>
                <w:ilvl w:val="0"/>
                <w:numId w:val="21"/>
              </w:numPr>
              <w:tabs>
                <w:tab w:val="left" w:pos="993"/>
              </w:tabs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Виконавець повинен надати необхідне обладнання для передачі тривожних сповіщень на пульт в безоплатне користування</w:t>
            </w: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 xml:space="preserve"> на час дії договору. Наявність обладнання на момент участі у  процедурі підтвердити .</w:t>
            </w:r>
          </w:p>
          <w:p w:rsidR="003D11DE" w:rsidRPr="003D11DE" w:rsidRDefault="003D11DE" w:rsidP="00676C1F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bdr w:val="none" w:sz="0" w:space="0" w:color="auto" w:frame="1"/>
                <w:lang w:val="uk-UA"/>
              </w:rPr>
              <w:t>20</w:t>
            </w:r>
            <w:r w:rsidRPr="003D11DE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20"/>
                <w:lang w:val="uk-UA" w:eastAsia="ru-RU"/>
              </w:rPr>
              <w:t xml:space="preserve">.  </w:t>
            </w: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>У разі надходження на ПЦС сигналу про спрацювання сигналізації на Об’єкті в період охорони:</w:t>
            </w:r>
          </w:p>
          <w:p w:rsidR="003D11DE" w:rsidRPr="003D11DE" w:rsidRDefault="003D11DE" w:rsidP="00676C1F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>- негайно направляти мобільну групу на Об’єкт для вжиття заходів, спрямованих на встановлення причин спрацювання сигналізації;</w:t>
            </w:r>
          </w:p>
          <w:p w:rsidR="003D11DE" w:rsidRPr="003D11DE" w:rsidRDefault="003D11DE" w:rsidP="00676C1F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>- в разі необхідності сповістити Замовника або його уповноважену особу про спрацювання сигналізації на Об’єкті з метою виявлення причин спрацювання сигналізації;</w:t>
            </w:r>
          </w:p>
          <w:p w:rsidR="003D11DE" w:rsidRPr="003D11DE" w:rsidRDefault="003D11DE" w:rsidP="00676C1F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ru-RU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>- в разі виявлення слідів проникнення на Об’єкт або спроб проникнення на Об’єкт сповістити про це Замовника;</w:t>
            </w:r>
          </w:p>
          <w:p w:rsidR="003D11DE" w:rsidRPr="003D11DE" w:rsidRDefault="003D11DE" w:rsidP="00676C1F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>- в разі виявлення на Об’єкті в період охорони будь-яких осіб вжити заходів щодо їх затримання  та передачі правоохоронним органам;</w:t>
            </w:r>
          </w:p>
          <w:p w:rsidR="003D11DE" w:rsidRPr="003D11DE" w:rsidRDefault="003D11DE" w:rsidP="00676C1F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>- забезпечити охорону майна на Об’єкті після спрацювання сигналізації до прибуття на Об’єкт Замовника, але не більше 1-ї години з моменту попередження Замовника</w:t>
            </w:r>
          </w:p>
          <w:p w:rsidR="003D11DE" w:rsidRPr="003D11DE" w:rsidRDefault="003D11DE" w:rsidP="00676C1F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>- якісно та своєчасно, в технічно можливий строк, ліквідовувати несправності, які можуть бути усунуті безпосередньо за місцем знаходження сигналізації, за заявкою Замовника.</w:t>
            </w:r>
          </w:p>
          <w:p w:rsidR="003D11DE" w:rsidRPr="003D11DE" w:rsidRDefault="003D11DE" w:rsidP="00676C1F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</w:pPr>
            <w:r w:rsidRPr="003D11DE">
              <w:rPr>
                <w:rFonts w:ascii="Times New Roman" w:eastAsia="Calibri" w:hAnsi="Times New Roman" w:cs="Times New Roman"/>
                <w:sz w:val="18"/>
                <w:szCs w:val="20"/>
                <w:lang w:val="uk-UA"/>
              </w:rPr>
              <w:t>- повідомляти в чергову частину поліції і Замовника про факт порушення цілісності Об’єкта або збитки, заподіяні пошкодженням майна, що охороняється. До прибуття представників територіального підрозділу поліції забезпечувати недоторканість місця події.</w:t>
            </w:r>
          </w:p>
          <w:p w:rsidR="003D11DE" w:rsidRPr="003D11DE" w:rsidRDefault="003D11DE" w:rsidP="00676C1F">
            <w:pPr>
              <w:tabs>
                <w:tab w:val="left" w:pos="602"/>
              </w:tabs>
              <w:ind w:right="176" w:firstLine="318"/>
              <w:jc w:val="both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</w:tr>
      <w:tr w:rsidR="003D11DE" w:rsidRPr="003D11DE" w:rsidTr="00F57617">
        <w:tc>
          <w:tcPr>
            <w:tcW w:w="7514" w:type="dxa"/>
          </w:tcPr>
          <w:p w:rsidR="003D11DE" w:rsidRPr="00263919" w:rsidRDefault="003D11DE" w:rsidP="007C6B0B">
            <w:pPr>
              <w:tabs>
                <w:tab w:val="left" w:pos="602"/>
              </w:tabs>
              <w:ind w:right="176" w:firstLine="318"/>
              <w:jc w:val="both"/>
              <w:rPr>
                <w:rFonts w:ascii="Times New Roman" w:hAnsi="Times New Roman"/>
                <w:b/>
                <w:sz w:val="18"/>
                <w:szCs w:val="24"/>
                <w:lang w:val="ru-RU"/>
              </w:rPr>
            </w:pPr>
          </w:p>
        </w:tc>
        <w:tc>
          <w:tcPr>
            <w:tcW w:w="7513" w:type="dxa"/>
          </w:tcPr>
          <w:p w:rsidR="003D11DE" w:rsidRPr="00263919" w:rsidRDefault="003D11DE" w:rsidP="004973F3">
            <w:pPr>
              <w:tabs>
                <w:tab w:val="left" w:pos="602"/>
              </w:tabs>
              <w:ind w:right="176" w:firstLine="318"/>
              <w:jc w:val="both"/>
              <w:rPr>
                <w:rFonts w:ascii="Times New Roman" w:hAnsi="Times New Roman"/>
                <w:b/>
                <w:sz w:val="18"/>
                <w:szCs w:val="24"/>
                <w:lang w:val="ru-RU"/>
              </w:rPr>
            </w:pPr>
          </w:p>
        </w:tc>
      </w:tr>
      <w:tr w:rsidR="003D11DE" w:rsidRPr="003D11DE" w:rsidTr="00F57617">
        <w:tc>
          <w:tcPr>
            <w:tcW w:w="7514" w:type="dxa"/>
          </w:tcPr>
          <w:p w:rsidR="003D11DE" w:rsidRPr="00F57617" w:rsidRDefault="003D11DE" w:rsidP="004973F3">
            <w:pPr>
              <w:pStyle w:val="a7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uk-UA"/>
              </w:rPr>
            </w:pPr>
            <w:bookmarkStart w:id="0" w:name="_GoBack"/>
            <w:bookmarkEnd w:id="0"/>
            <w:r w:rsidRPr="00F57617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uk-UA"/>
              </w:rPr>
              <w:t>Розділ 4. Подання та розкриття тендерної пропозиції</w:t>
            </w:r>
          </w:p>
          <w:p w:rsidR="003D11DE" w:rsidRPr="00F57617" w:rsidRDefault="003D11DE" w:rsidP="004973F3">
            <w:pPr>
              <w:widowControl w:val="0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</w:pP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Кінцевий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строк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подання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тендерних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пропозицій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uk-UA"/>
              </w:rPr>
              <w:t xml:space="preserve"> </w:t>
            </w:r>
            <w:r w:rsidRPr="00F5761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9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9"/>
                <w:lang w:val="ru-RU"/>
              </w:rPr>
              <w:t>12</w:t>
            </w:r>
            <w:r w:rsidRPr="00F5761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9"/>
                <w:lang w:val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9"/>
                <w:lang w:val="ru-RU"/>
              </w:rPr>
              <w:t>чер</w:t>
            </w:r>
            <w:r w:rsidRPr="00F5761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9"/>
                <w:lang w:val="ru-RU"/>
              </w:rPr>
              <w:t>вня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9"/>
                <w:lang w:val="ru-RU"/>
              </w:rPr>
              <w:t xml:space="preserve"> 2023.</w:t>
            </w:r>
          </w:p>
          <w:p w:rsidR="003D11DE" w:rsidRPr="00F57617" w:rsidRDefault="003D11DE" w:rsidP="004973F3">
            <w:pPr>
              <w:widowControl w:val="0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</w:pP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Отримана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тендерна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пропозиція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вноситься автоматично до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реєстру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отриманих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тендерних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пропозицій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.</w:t>
            </w:r>
          </w:p>
          <w:p w:rsidR="003D11DE" w:rsidRDefault="003D11DE" w:rsidP="004973F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Електронна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система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закупівель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автоматично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формує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та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надсилає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повідомлення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учаснику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про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отримання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його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тендерної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пропозиції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із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зазначенням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дати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та часу.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Електронна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система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закупівель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повинна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забезпечити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можливість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подання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тендерної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пропозиції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вс</w:t>
            </w:r>
            <w:proofErr w:type="gram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ім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особам на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рівних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умовах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.</w:t>
            </w:r>
          </w:p>
        </w:tc>
        <w:tc>
          <w:tcPr>
            <w:tcW w:w="7513" w:type="dxa"/>
          </w:tcPr>
          <w:p w:rsidR="003D11DE" w:rsidRPr="00F57617" w:rsidRDefault="003D11DE" w:rsidP="00F57617">
            <w:pPr>
              <w:pStyle w:val="a7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uk-UA"/>
              </w:rPr>
            </w:pPr>
            <w:r w:rsidRPr="00F57617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uk-UA"/>
              </w:rPr>
              <w:t>Розділ 4. Подання та розкриття тендерної пропозиції</w:t>
            </w:r>
          </w:p>
          <w:p w:rsidR="003D11DE" w:rsidRPr="00F57617" w:rsidRDefault="003D11DE" w:rsidP="00F57617">
            <w:pPr>
              <w:widowControl w:val="0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</w:pP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Кінцевий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строк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подання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тендерних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пропозицій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uk-UA"/>
              </w:rPr>
              <w:t xml:space="preserve"> </w:t>
            </w:r>
            <w:r w:rsidRPr="00F5761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9"/>
                <w:lang w:val="ru-RU"/>
              </w:rPr>
              <w:t>«</w:t>
            </w:r>
            <w:r w:rsidRPr="004973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9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9"/>
                <w:lang w:val="ru-RU"/>
              </w:rPr>
              <w:t>4</w:t>
            </w:r>
            <w:r w:rsidRPr="00F5761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9"/>
                <w:lang w:val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9"/>
                <w:lang w:val="ru-RU"/>
              </w:rPr>
              <w:t>чер</w:t>
            </w:r>
            <w:r w:rsidRPr="00F5761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9"/>
                <w:lang w:val="ru-RU"/>
              </w:rPr>
              <w:t>вня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9"/>
                <w:lang w:val="ru-RU"/>
              </w:rPr>
              <w:t xml:space="preserve"> 2023.</w:t>
            </w:r>
          </w:p>
          <w:p w:rsidR="003D11DE" w:rsidRPr="00F57617" w:rsidRDefault="003D11DE" w:rsidP="00F57617">
            <w:pPr>
              <w:widowControl w:val="0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</w:pP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Отримана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тендерна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пропозиція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вноситься автоматично до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реєстру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отриманих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тендерних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пропозицій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.</w:t>
            </w:r>
          </w:p>
          <w:p w:rsidR="003D11DE" w:rsidRPr="00F57617" w:rsidRDefault="003D11DE" w:rsidP="00F5761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Електронна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система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закупівель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автоматично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формує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та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надсилає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повідомлення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учаснику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про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отримання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його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тендерної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пропозиції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із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зазначенням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дати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та часу.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Електронна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система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закупівель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повинна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забезпечити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можливість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подання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тендерної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пропозиції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вс</w:t>
            </w:r>
            <w:proofErr w:type="gram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ім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особам на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рівних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умовах</w:t>
            </w:r>
            <w:proofErr w:type="spellEnd"/>
            <w:r w:rsidRPr="00F5761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val="ru-RU"/>
              </w:rPr>
              <w:t>.</w:t>
            </w:r>
          </w:p>
        </w:tc>
      </w:tr>
    </w:tbl>
    <w:p w:rsidR="00F57617" w:rsidRPr="007C6B0B" w:rsidRDefault="00F57617" w:rsidP="003723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sectPr w:rsidR="00F57617" w:rsidRPr="007C6B0B" w:rsidSect="000A05B1">
      <w:pgSz w:w="15840" w:h="12240" w:orient="landscape"/>
      <w:pgMar w:top="284" w:right="42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51262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pacing w:val="-8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pacing w:val="-8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13"/>
    <w:multiLevelType w:val="singleLevel"/>
    <w:tmpl w:val="2DA8DE6E"/>
    <w:lvl w:ilvl="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</w:abstractNum>
  <w:abstractNum w:abstractNumId="4">
    <w:nsid w:val="00724585"/>
    <w:multiLevelType w:val="hybridMultilevel"/>
    <w:tmpl w:val="99723ABA"/>
    <w:lvl w:ilvl="0" w:tplc="8BE4311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03045E5A"/>
    <w:multiLevelType w:val="hybridMultilevel"/>
    <w:tmpl w:val="3A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F47F2"/>
    <w:multiLevelType w:val="hybridMultilevel"/>
    <w:tmpl w:val="6DB8C07E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0AFD3B1E"/>
    <w:multiLevelType w:val="hybridMultilevel"/>
    <w:tmpl w:val="397C99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E418B8"/>
    <w:multiLevelType w:val="hybridMultilevel"/>
    <w:tmpl w:val="160E989C"/>
    <w:lvl w:ilvl="0" w:tplc="AA0ACC0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1153E"/>
    <w:multiLevelType w:val="hybridMultilevel"/>
    <w:tmpl w:val="8CF2C714"/>
    <w:lvl w:ilvl="0" w:tplc="B9DCA5D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1AD639D1"/>
    <w:multiLevelType w:val="hybridMultilevel"/>
    <w:tmpl w:val="FDBA716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D00CB"/>
    <w:multiLevelType w:val="hybridMultilevel"/>
    <w:tmpl w:val="3A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81BFF"/>
    <w:multiLevelType w:val="multilevel"/>
    <w:tmpl w:val="D992352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3">
    <w:nsid w:val="32BB6847"/>
    <w:multiLevelType w:val="hybridMultilevel"/>
    <w:tmpl w:val="8B2A34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9164CF4"/>
    <w:multiLevelType w:val="hybridMultilevel"/>
    <w:tmpl w:val="AB185A60"/>
    <w:lvl w:ilvl="0" w:tplc="960A7E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A54F3"/>
    <w:multiLevelType w:val="hybridMultilevel"/>
    <w:tmpl w:val="5BF41DD4"/>
    <w:lvl w:ilvl="0" w:tplc="9642F5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72CEE"/>
    <w:multiLevelType w:val="hybridMultilevel"/>
    <w:tmpl w:val="72B64D28"/>
    <w:lvl w:ilvl="0" w:tplc="6B26FC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07E21"/>
    <w:multiLevelType w:val="hybridMultilevel"/>
    <w:tmpl w:val="3A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A1576"/>
    <w:multiLevelType w:val="multilevel"/>
    <w:tmpl w:val="01F09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40C1EE3"/>
    <w:multiLevelType w:val="hybridMultilevel"/>
    <w:tmpl w:val="FDBA716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D092B"/>
    <w:multiLevelType w:val="hybridMultilevel"/>
    <w:tmpl w:val="8EE68E50"/>
    <w:lvl w:ilvl="0" w:tplc="2DA8DE6E">
      <w:numFmt w:val="bullet"/>
      <w:lvlText w:val="-"/>
      <w:lvlJc w:val="left"/>
      <w:pPr>
        <w:ind w:left="1275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BF917B1"/>
    <w:multiLevelType w:val="hybridMultilevel"/>
    <w:tmpl w:val="397C99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634DE2"/>
    <w:multiLevelType w:val="multilevel"/>
    <w:tmpl w:val="D992352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4">
    <w:nsid w:val="6779589B"/>
    <w:multiLevelType w:val="hybridMultilevel"/>
    <w:tmpl w:val="CED8C13E"/>
    <w:lvl w:ilvl="0" w:tplc="1D80175A">
      <w:start w:val="1"/>
      <w:numFmt w:val="decimal"/>
      <w:lvlText w:val="%1."/>
      <w:lvlJc w:val="left"/>
      <w:pPr>
        <w:ind w:left="1774" w:hanging="106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205BCB"/>
    <w:multiLevelType w:val="hybridMultilevel"/>
    <w:tmpl w:val="E4EA99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750B5"/>
    <w:multiLevelType w:val="hybridMultilevel"/>
    <w:tmpl w:val="E4EA99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D23D7"/>
    <w:multiLevelType w:val="hybridMultilevel"/>
    <w:tmpl w:val="397C99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265226"/>
    <w:multiLevelType w:val="multilevel"/>
    <w:tmpl w:val="E3BC3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1625DF"/>
    <w:multiLevelType w:val="hybridMultilevel"/>
    <w:tmpl w:val="82CC5CEE"/>
    <w:lvl w:ilvl="0" w:tplc="ACDCFBA4">
      <w:start w:val="2"/>
      <w:numFmt w:val="decimal"/>
      <w:lvlText w:val="%1."/>
      <w:lvlJc w:val="left"/>
      <w:pPr>
        <w:ind w:left="312" w:hanging="312"/>
      </w:pPr>
      <w:rPr>
        <w:rFonts w:hint="default"/>
        <w:spacing w:val="-4"/>
        <w:w w:val="100"/>
        <w:lang w:val="uk-UA" w:eastAsia="en-US" w:bidi="ar-SA"/>
      </w:rPr>
    </w:lvl>
    <w:lvl w:ilvl="1" w:tplc="518E2568">
      <w:numFmt w:val="none"/>
      <w:lvlText w:val=""/>
      <w:lvlJc w:val="left"/>
      <w:pPr>
        <w:tabs>
          <w:tab w:val="num" w:pos="360"/>
        </w:tabs>
      </w:pPr>
    </w:lvl>
    <w:lvl w:ilvl="2" w:tplc="92C2BA28">
      <w:numFmt w:val="bullet"/>
      <w:lvlText w:val="•"/>
      <w:lvlJc w:val="left"/>
      <w:pPr>
        <w:ind w:left="2851" w:hanging="420"/>
      </w:pPr>
      <w:rPr>
        <w:rFonts w:hint="default"/>
        <w:lang w:val="uk-UA" w:eastAsia="en-US" w:bidi="ar-SA"/>
      </w:rPr>
    </w:lvl>
    <w:lvl w:ilvl="3" w:tplc="14AC6F7C">
      <w:numFmt w:val="bullet"/>
      <w:lvlText w:val="•"/>
      <w:lvlJc w:val="left"/>
      <w:pPr>
        <w:ind w:left="3843" w:hanging="420"/>
      </w:pPr>
      <w:rPr>
        <w:rFonts w:hint="default"/>
        <w:lang w:val="uk-UA" w:eastAsia="en-US" w:bidi="ar-SA"/>
      </w:rPr>
    </w:lvl>
    <w:lvl w:ilvl="4" w:tplc="7B6683B6">
      <w:numFmt w:val="bullet"/>
      <w:lvlText w:val="•"/>
      <w:lvlJc w:val="left"/>
      <w:pPr>
        <w:ind w:left="4834" w:hanging="420"/>
      </w:pPr>
      <w:rPr>
        <w:rFonts w:hint="default"/>
        <w:lang w:val="uk-UA" w:eastAsia="en-US" w:bidi="ar-SA"/>
      </w:rPr>
    </w:lvl>
    <w:lvl w:ilvl="5" w:tplc="3FF4E1E0">
      <w:numFmt w:val="bullet"/>
      <w:lvlText w:val="•"/>
      <w:lvlJc w:val="left"/>
      <w:pPr>
        <w:ind w:left="5826" w:hanging="420"/>
      </w:pPr>
      <w:rPr>
        <w:rFonts w:hint="default"/>
        <w:lang w:val="uk-UA" w:eastAsia="en-US" w:bidi="ar-SA"/>
      </w:rPr>
    </w:lvl>
    <w:lvl w:ilvl="6" w:tplc="F1DC1164">
      <w:numFmt w:val="bullet"/>
      <w:lvlText w:val="•"/>
      <w:lvlJc w:val="left"/>
      <w:pPr>
        <w:ind w:left="6817" w:hanging="420"/>
      </w:pPr>
      <w:rPr>
        <w:rFonts w:hint="default"/>
        <w:lang w:val="uk-UA" w:eastAsia="en-US" w:bidi="ar-SA"/>
      </w:rPr>
    </w:lvl>
    <w:lvl w:ilvl="7" w:tplc="A34893F8">
      <w:numFmt w:val="bullet"/>
      <w:lvlText w:val="•"/>
      <w:lvlJc w:val="left"/>
      <w:pPr>
        <w:ind w:left="7809" w:hanging="420"/>
      </w:pPr>
      <w:rPr>
        <w:rFonts w:hint="default"/>
        <w:lang w:val="uk-UA" w:eastAsia="en-US" w:bidi="ar-SA"/>
      </w:rPr>
    </w:lvl>
    <w:lvl w:ilvl="8" w:tplc="0158C664">
      <w:numFmt w:val="bullet"/>
      <w:lvlText w:val="•"/>
      <w:lvlJc w:val="left"/>
      <w:pPr>
        <w:ind w:left="8800" w:hanging="420"/>
      </w:pPr>
      <w:rPr>
        <w:rFonts w:hint="default"/>
        <w:lang w:val="uk-UA" w:eastAsia="en-US" w:bidi="ar-SA"/>
      </w:rPr>
    </w:lvl>
  </w:abstractNum>
  <w:num w:numId="1">
    <w:abstractNumId w:val="29"/>
  </w:num>
  <w:num w:numId="2">
    <w:abstractNumId w:val="20"/>
  </w:num>
  <w:num w:numId="3">
    <w:abstractNumId w:val="3"/>
  </w:num>
  <w:num w:numId="4">
    <w:abstractNumId w:val="6"/>
  </w:num>
  <w:num w:numId="5">
    <w:abstractNumId w:val="13"/>
  </w:num>
  <w:num w:numId="6">
    <w:abstractNumId w:val="18"/>
  </w:num>
  <w:num w:numId="7">
    <w:abstractNumId w:val="14"/>
  </w:num>
  <w:num w:numId="8">
    <w:abstractNumId w:val="1"/>
  </w:num>
  <w:num w:numId="9">
    <w:abstractNumId w:val="24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4"/>
  </w:num>
  <w:num w:numId="14">
    <w:abstractNumId w:val="21"/>
  </w:num>
  <w:num w:numId="15">
    <w:abstractNumId w:val="0"/>
  </w:num>
  <w:num w:numId="16">
    <w:abstractNumId w:val="16"/>
  </w:num>
  <w:num w:numId="17">
    <w:abstractNumId w:val="25"/>
  </w:num>
  <w:num w:numId="18">
    <w:abstractNumId w:val="28"/>
  </w:num>
  <w:num w:numId="19">
    <w:abstractNumId w:val="26"/>
  </w:num>
  <w:num w:numId="20">
    <w:abstractNumId w:val="5"/>
  </w:num>
  <w:num w:numId="21">
    <w:abstractNumId w:val="19"/>
  </w:num>
  <w:num w:numId="22">
    <w:abstractNumId w:val="17"/>
  </w:num>
  <w:num w:numId="23">
    <w:abstractNumId w:val="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0"/>
  </w:num>
  <w:num w:numId="27">
    <w:abstractNumId w:val="23"/>
  </w:num>
  <w:num w:numId="28">
    <w:abstractNumId w:val="12"/>
  </w:num>
  <w:num w:numId="29">
    <w:abstractNumId w:val="22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604D71"/>
    <w:rsid w:val="000308C0"/>
    <w:rsid w:val="0003144E"/>
    <w:rsid w:val="00034E25"/>
    <w:rsid w:val="000A05B1"/>
    <w:rsid w:val="000A78E9"/>
    <w:rsid w:val="000C412A"/>
    <w:rsid w:val="001E5722"/>
    <w:rsid w:val="001F17CA"/>
    <w:rsid w:val="001F5509"/>
    <w:rsid w:val="00255201"/>
    <w:rsid w:val="00263919"/>
    <w:rsid w:val="00263F7F"/>
    <w:rsid w:val="002B3610"/>
    <w:rsid w:val="002E27DF"/>
    <w:rsid w:val="002F0907"/>
    <w:rsid w:val="0033052B"/>
    <w:rsid w:val="0034743D"/>
    <w:rsid w:val="00353E9F"/>
    <w:rsid w:val="00366A81"/>
    <w:rsid w:val="00370C82"/>
    <w:rsid w:val="00372385"/>
    <w:rsid w:val="00375913"/>
    <w:rsid w:val="00382DC5"/>
    <w:rsid w:val="003D11DE"/>
    <w:rsid w:val="004816BD"/>
    <w:rsid w:val="004973F3"/>
    <w:rsid w:val="004B76E8"/>
    <w:rsid w:val="004E3E91"/>
    <w:rsid w:val="0051722E"/>
    <w:rsid w:val="00522EDE"/>
    <w:rsid w:val="005569B8"/>
    <w:rsid w:val="0057316D"/>
    <w:rsid w:val="005858B2"/>
    <w:rsid w:val="00600CE3"/>
    <w:rsid w:val="00604715"/>
    <w:rsid w:val="00604D71"/>
    <w:rsid w:val="00634345"/>
    <w:rsid w:val="00643C32"/>
    <w:rsid w:val="006531E0"/>
    <w:rsid w:val="006676F4"/>
    <w:rsid w:val="0067569E"/>
    <w:rsid w:val="006857D8"/>
    <w:rsid w:val="006B5572"/>
    <w:rsid w:val="00702B18"/>
    <w:rsid w:val="00713B29"/>
    <w:rsid w:val="00715E1E"/>
    <w:rsid w:val="00734D17"/>
    <w:rsid w:val="00763E74"/>
    <w:rsid w:val="007C599E"/>
    <w:rsid w:val="007C6B0B"/>
    <w:rsid w:val="007E57DE"/>
    <w:rsid w:val="007F5386"/>
    <w:rsid w:val="008231D8"/>
    <w:rsid w:val="00852FA2"/>
    <w:rsid w:val="008A1F63"/>
    <w:rsid w:val="008B2C07"/>
    <w:rsid w:val="00926224"/>
    <w:rsid w:val="009363C9"/>
    <w:rsid w:val="00950DE8"/>
    <w:rsid w:val="00985307"/>
    <w:rsid w:val="009B68D0"/>
    <w:rsid w:val="009D24D4"/>
    <w:rsid w:val="00A003A5"/>
    <w:rsid w:val="00AF20AF"/>
    <w:rsid w:val="00B36FAF"/>
    <w:rsid w:val="00BF4DB4"/>
    <w:rsid w:val="00C168E5"/>
    <w:rsid w:val="00C66711"/>
    <w:rsid w:val="00C8587A"/>
    <w:rsid w:val="00D10011"/>
    <w:rsid w:val="00D265DA"/>
    <w:rsid w:val="00D30CEA"/>
    <w:rsid w:val="00D72313"/>
    <w:rsid w:val="00D83C0D"/>
    <w:rsid w:val="00D85514"/>
    <w:rsid w:val="00DC1759"/>
    <w:rsid w:val="00DF3241"/>
    <w:rsid w:val="00E35DEF"/>
    <w:rsid w:val="00ED5DB1"/>
    <w:rsid w:val="00F12814"/>
    <w:rsid w:val="00F40829"/>
    <w:rsid w:val="00F54CBF"/>
    <w:rsid w:val="00F57617"/>
    <w:rsid w:val="00F7397C"/>
    <w:rsid w:val="00FC4A70"/>
    <w:rsid w:val="00FD17A4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201"/>
  </w:style>
  <w:style w:type="paragraph" w:styleId="1">
    <w:name w:val="heading 1"/>
    <w:basedOn w:val="a0"/>
    <w:next w:val="a0"/>
    <w:link w:val="10"/>
    <w:uiPriority w:val="9"/>
    <w:qFormat/>
    <w:rsid w:val="00C16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FD17A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7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ий текст (3)_"/>
    <w:basedOn w:val="a1"/>
    <w:link w:val="31"/>
    <w:locked/>
    <w:rsid w:val="004E3E91"/>
    <w:rPr>
      <w:b/>
      <w:bCs/>
      <w:shd w:val="clear" w:color="auto" w:fill="FFFFFF"/>
    </w:rPr>
  </w:style>
  <w:style w:type="character" w:customStyle="1" w:styleId="11">
    <w:name w:val="Заголовок №1"/>
    <w:basedOn w:val="a1"/>
    <w:rsid w:val="004E3E9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31">
    <w:name w:val="Основний текст (3)1"/>
    <w:basedOn w:val="a0"/>
    <w:link w:val="3"/>
    <w:rsid w:val="004E3E91"/>
    <w:pPr>
      <w:widowControl w:val="0"/>
      <w:shd w:val="clear" w:color="auto" w:fill="FFFFFF"/>
      <w:spacing w:after="600" w:line="240" w:lineRule="atLeast"/>
      <w:ind w:hanging="780"/>
    </w:pPr>
    <w:rPr>
      <w:b/>
      <w:bCs/>
    </w:rPr>
  </w:style>
  <w:style w:type="paragraph" w:styleId="a5">
    <w:name w:val="List Paragraph"/>
    <w:basedOn w:val="a0"/>
    <w:link w:val="a6"/>
    <w:uiPriority w:val="34"/>
    <w:qFormat/>
    <w:rsid w:val="00522EDE"/>
    <w:pPr>
      <w:ind w:left="720"/>
      <w:contextualSpacing/>
    </w:pPr>
    <w:rPr>
      <w:lang w:val="ru-RU"/>
    </w:rPr>
  </w:style>
  <w:style w:type="paragraph" w:customStyle="1" w:styleId="rvps2">
    <w:name w:val="rvps2"/>
    <w:basedOn w:val="a0"/>
    <w:rsid w:val="0052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34"/>
    <w:qFormat/>
    <w:locked/>
    <w:rsid w:val="00522EDE"/>
    <w:rPr>
      <w:lang w:val="ru-RU"/>
    </w:rPr>
  </w:style>
  <w:style w:type="paragraph" w:styleId="a7">
    <w:name w:val="No Spacing"/>
    <w:uiPriority w:val="1"/>
    <w:qFormat/>
    <w:rsid w:val="00522EDE"/>
    <w:pPr>
      <w:suppressAutoHyphens/>
      <w:spacing w:after="0" w:line="240" w:lineRule="auto"/>
    </w:pPr>
    <w:rPr>
      <w:rFonts w:ascii="Calibri" w:eastAsia="Times New Roman" w:hAnsi="Calibri" w:cs="Calibri"/>
      <w:lang w:val="ru-RU" w:eastAsia="zh-CN"/>
    </w:rPr>
  </w:style>
  <w:style w:type="paragraph" w:styleId="a8">
    <w:name w:val="Body Text"/>
    <w:basedOn w:val="a0"/>
    <w:link w:val="a9"/>
    <w:uiPriority w:val="99"/>
    <w:rsid w:val="00522EDE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9">
    <w:name w:val="Основной текст Знак"/>
    <w:basedOn w:val="a1"/>
    <w:link w:val="a8"/>
    <w:uiPriority w:val="99"/>
    <w:rsid w:val="00522EDE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customStyle="1" w:styleId="110">
    <w:name w:val="Заголовок 11"/>
    <w:basedOn w:val="a0"/>
    <w:uiPriority w:val="1"/>
    <w:qFormat/>
    <w:rsid w:val="00522EDE"/>
    <w:pPr>
      <w:widowControl w:val="0"/>
      <w:autoSpaceDE w:val="0"/>
      <w:autoSpaceDN w:val="0"/>
      <w:spacing w:after="0" w:line="240" w:lineRule="auto"/>
      <w:ind w:left="31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a">
    <w:name w:val="Normal (Web)"/>
    <w:aliases w:val="Знак17,Знак18 Знак,Знак17 Знак1, Знак17, Знак18 Знак, Знак17 Знак1,Знак2,Обычный (веб) Знак1,Обычный (веб) Знак Знак1,Обычный (Web) Знак Знак Знак Знак,Обычный (веб) Знак Знак Знак,Обычный (веб) Знак2 Знак Знак"/>
    <w:basedOn w:val="a0"/>
    <w:link w:val="ab"/>
    <w:qFormat/>
    <w:rsid w:val="0035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бычный (веб) Знак"/>
    <w:aliases w:val="Знак17 Знак,Знак18 Знак Знак,Знак17 Знак1 Знак, Знак17 Знак, Знак18 Знак Знак, Знак17 Знак1 Знак,Знак2 Знак,Обычный (веб) Знак1 Знак,Обычный (веб) Знак Знак1 Знак,Обычный (Web) Знак Знак Знак Знак Знак"/>
    <w:link w:val="aa"/>
    <w:uiPriority w:val="99"/>
    <w:locked/>
    <w:rsid w:val="00353E9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Обычный1"/>
    <w:qFormat/>
    <w:rsid w:val="00353E9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table" w:customStyle="1" w:styleId="13">
    <w:name w:val="Сетка таблицы1"/>
    <w:basedOn w:val="a2"/>
    <w:next w:val="a4"/>
    <w:uiPriority w:val="59"/>
    <w:rsid w:val="005569B8"/>
    <w:pPr>
      <w:spacing w:after="0" w:line="240" w:lineRule="auto"/>
    </w:pPr>
    <w:rPr>
      <w:rFonts w:ascii="Times New Roman" w:eastAsia="Calibri" w:hAnsi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 (веб)2"/>
    <w:basedOn w:val="a0"/>
    <w:rsid w:val="005569B8"/>
    <w:pPr>
      <w:suppressAutoHyphens/>
      <w:spacing w:before="280" w:after="280" w:line="276" w:lineRule="auto"/>
    </w:pPr>
    <w:rPr>
      <w:rFonts w:ascii="Calibri" w:eastAsia="Calibri" w:hAnsi="Calibri" w:cs="Calibri"/>
      <w:lang w:val="uk-UA" w:eastAsia="zh-CN"/>
    </w:rPr>
  </w:style>
  <w:style w:type="paragraph" w:customStyle="1" w:styleId="ac">
    <w:name w:val="Содержимое таблицы"/>
    <w:basedOn w:val="a0"/>
    <w:rsid w:val="009363C9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lang w:val="ru-RU" w:eastAsia="zh-CN"/>
    </w:rPr>
  </w:style>
  <w:style w:type="paragraph" w:customStyle="1" w:styleId="210">
    <w:name w:val="Заголовок 21"/>
    <w:basedOn w:val="a0"/>
    <w:uiPriority w:val="1"/>
    <w:qFormat/>
    <w:rsid w:val="0033052B"/>
    <w:pPr>
      <w:widowControl w:val="0"/>
      <w:autoSpaceDE w:val="0"/>
      <w:autoSpaceDN w:val="0"/>
      <w:spacing w:after="0" w:line="240" w:lineRule="auto"/>
      <w:ind w:left="23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3305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310">
    <w:name w:val="Заголовок 31"/>
    <w:basedOn w:val="a0"/>
    <w:uiPriority w:val="1"/>
    <w:qFormat/>
    <w:rsid w:val="008A1F63"/>
    <w:pPr>
      <w:widowControl w:val="0"/>
      <w:autoSpaceDE w:val="0"/>
      <w:autoSpaceDN w:val="0"/>
      <w:spacing w:after="0" w:line="240" w:lineRule="auto"/>
      <w:ind w:left="1081"/>
      <w:outlineLvl w:val="3"/>
    </w:pPr>
    <w:rPr>
      <w:rFonts w:ascii="Times New Roman" w:eastAsia="Times New Roman" w:hAnsi="Times New Roman" w:cs="Times New Roman"/>
      <w:sz w:val="23"/>
      <w:szCs w:val="23"/>
      <w:lang w:val="ru-RU" w:eastAsia="ru-RU" w:bidi="ru-RU"/>
    </w:rPr>
  </w:style>
  <w:style w:type="character" w:customStyle="1" w:styleId="20">
    <w:name w:val="Заголовок 2 Знак"/>
    <w:basedOn w:val="a1"/>
    <w:link w:val="2"/>
    <w:rsid w:val="00FD17A4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5">
    <w:name w:val="Основний текст (5)_"/>
    <w:link w:val="50"/>
    <w:rsid w:val="00FD17A4"/>
    <w:rPr>
      <w:rFonts w:ascii="Arial" w:eastAsia="Arial" w:hAnsi="Arial" w:cs="Arial"/>
      <w:b/>
      <w:bCs/>
      <w:shd w:val="clear" w:color="auto" w:fill="FFFFFF"/>
    </w:rPr>
  </w:style>
  <w:style w:type="paragraph" w:customStyle="1" w:styleId="50">
    <w:name w:val="Основний текст (5)"/>
    <w:basedOn w:val="a0"/>
    <w:link w:val="5"/>
    <w:rsid w:val="00FD17A4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rvts0">
    <w:name w:val="rvts0"/>
    <w:uiPriority w:val="99"/>
    <w:rsid w:val="007C6B0B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C168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">
    <w:name w:val="List Bullet"/>
    <w:basedOn w:val="a0"/>
    <w:rsid w:val="00C168E5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0"/>
    <w:link w:val="ae"/>
    <w:uiPriority w:val="99"/>
    <w:semiHidden/>
    <w:unhideWhenUsed/>
    <w:rsid w:val="00600CE3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600CE3"/>
    <w:rPr>
      <w:rFonts w:ascii="Segoe UI" w:hAnsi="Segoe UI" w:cs="Segoe UI"/>
      <w:sz w:val="18"/>
      <w:szCs w:val="18"/>
      <w:lang w:val="ru-RU"/>
    </w:rPr>
  </w:style>
  <w:style w:type="character" w:customStyle="1" w:styleId="30">
    <w:name w:val="Основний текст (3)"/>
    <w:basedOn w:val="3"/>
    <w:rsid w:val="00ED5DB1"/>
    <w:rPr>
      <w:color w:val="000000"/>
      <w:spacing w:val="0"/>
      <w:w w:val="100"/>
      <w:position w:val="0"/>
      <w:sz w:val="24"/>
      <w:szCs w:val="24"/>
      <w:lang w:val="uk-UA" w:eastAsia="uk-UA"/>
    </w:rPr>
  </w:style>
  <w:style w:type="paragraph" w:styleId="32">
    <w:name w:val="Body Text 3"/>
    <w:basedOn w:val="a0"/>
    <w:link w:val="33"/>
    <w:uiPriority w:val="99"/>
    <w:unhideWhenUsed/>
    <w:rsid w:val="00ED5DB1"/>
    <w:pPr>
      <w:spacing w:after="120"/>
    </w:pPr>
    <w:rPr>
      <w:sz w:val="16"/>
      <w:szCs w:val="16"/>
      <w:lang w:val="ru-RU"/>
    </w:rPr>
  </w:style>
  <w:style w:type="character" w:customStyle="1" w:styleId="33">
    <w:name w:val="Основной текст 3 Знак"/>
    <w:basedOn w:val="a1"/>
    <w:link w:val="32"/>
    <w:uiPriority w:val="99"/>
    <w:rsid w:val="00ED5DB1"/>
    <w:rPr>
      <w:sz w:val="16"/>
      <w:szCs w:val="16"/>
      <w:lang w:val="ru-RU"/>
    </w:rPr>
  </w:style>
  <w:style w:type="paragraph" w:styleId="af">
    <w:name w:val="Plain Text"/>
    <w:basedOn w:val="a0"/>
    <w:link w:val="af0"/>
    <w:uiPriority w:val="99"/>
    <w:rsid w:val="00ED5DB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f0">
    <w:name w:val="Текст Знак"/>
    <w:basedOn w:val="a1"/>
    <w:link w:val="af"/>
    <w:uiPriority w:val="99"/>
    <w:rsid w:val="00ED5DB1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Normal1">
    <w:name w:val="Normal1"/>
    <w:rsid w:val="00ED5DB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BodyText22">
    <w:name w:val="Body Text 22"/>
    <w:basedOn w:val="a0"/>
    <w:rsid w:val="00ED5DB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Text">
    <w:name w:val="Default Text"/>
    <w:uiPriority w:val="99"/>
    <w:rsid w:val="00ED5D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f1">
    <w:name w:val="Emphasis"/>
    <w:qFormat/>
    <w:rsid w:val="00ED5DB1"/>
    <w:rPr>
      <w:i/>
      <w:iCs/>
    </w:rPr>
  </w:style>
  <w:style w:type="paragraph" w:customStyle="1" w:styleId="af2">
    <w:name w:val="Òåêñò"/>
    <w:rsid w:val="00ED5DB1"/>
    <w:pPr>
      <w:widowControl w:val="0"/>
      <w:spacing w:after="0" w:line="210" w:lineRule="atLeast"/>
      <w:ind w:firstLine="454"/>
      <w:jc w:val="both"/>
    </w:pPr>
    <w:rPr>
      <w:rFonts w:ascii="Times New Roman" w:eastAsia="MS Mincho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7935</Words>
  <Characters>4524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</cp:lastModifiedBy>
  <cp:revision>2</cp:revision>
  <dcterms:created xsi:type="dcterms:W3CDTF">2023-06-09T13:14:00Z</dcterms:created>
  <dcterms:modified xsi:type="dcterms:W3CDTF">2023-06-09T13:14:00Z</dcterms:modified>
</cp:coreProperties>
</file>