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727C8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 w:rsidR="005727C8">
        <w:rPr>
          <w:rFonts w:ascii="Times New Roman" w:eastAsia="Times New Roman" w:hAnsi="Times New Roman"/>
          <w:b/>
          <w:bCs/>
          <w:lang w:val="uk-UA" w:eastAsia="ru-RU"/>
        </w:rPr>
        <w:t>Додаток 4</w:t>
      </w:r>
    </w:p>
    <w:p w:rsidR="009752AA" w:rsidRDefault="005727C8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>Проект</w:t>
      </w:r>
      <w:r w:rsidR="009752AA">
        <w:rPr>
          <w:rFonts w:ascii="Times New Roman" w:eastAsia="Times New Roman" w:hAnsi="Times New Roman"/>
          <w:b/>
          <w:bCs/>
          <w:lang w:val="uk-UA" w:eastAsia="ru-RU"/>
        </w:rPr>
        <w:tab/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Pr="00016142" w:rsidRDefault="00016142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</w:t>
      </w:r>
      <w:r>
        <w:rPr>
          <w:rFonts w:ascii="Times New Roman" w:eastAsia="Times New Roman" w:hAnsi="Times New Roman"/>
          <w:b/>
          <w:bCs/>
          <w:lang w:val="uk-UA" w:eastAsia="ru-RU"/>
        </w:rPr>
        <w:t>ІР №_____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державні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17"/>
      <w:bookmarkEnd w:id="0"/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val="uk-UA" w:eastAsia="ru-RU"/>
        </w:rPr>
        <w:t>____</w:t>
      </w:r>
      <w:r>
        <w:rPr>
          <w:rFonts w:ascii="Times New Roman" w:eastAsia="Times New Roman" w:hAnsi="Times New Roman"/>
          <w:lang w:eastAsia="ru-RU"/>
        </w:rPr>
        <w:t>»  _________202</w:t>
      </w:r>
      <w:r w:rsidR="00300227">
        <w:rPr>
          <w:rFonts w:ascii="Times New Roman" w:eastAsia="Times New Roman" w:hAnsi="Times New Roman"/>
          <w:lang w:val="uk-UA"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року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lang w:eastAsia="ru-RU"/>
        </w:rPr>
      </w:pPr>
      <w:bookmarkStart w:id="1" w:name="18"/>
      <w:bookmarkEnd w:id="1"/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9752AA" w:rsidRPr="00B062C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B062CA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 особі начальника </w:t>
      </w:r>
      <w:r w:rsidRPr="00B062CA">
        <w:rPr>
          <w:rFonts w:ascii="Times New Roman" w:eastAsia="Times New Roman" w:hAnsi="Times New Roman"/>
          <w:b/>
          <w:snapToGrid w:val="0"/>
          <w:color w:val="000000"/>
          <w:spacing w:val="-3"/>
          <w:sz w:val="24"/>
          <w:szCs w:val="24"/>
          <w:lang w:val="uk-UA" w:eastAsia="ru-RU"/>
        </w:rPr>
        <w:t>Гончарова Віталія Анатолійовича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що діє на підставі Статуту і є платником податку на прибуток на загальних підставах (далі – Замовник) з однієї сторони,  і </w:t>
      </w:r>
      <w:r w:rsidRPr="00B062C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____________________________</w:t>
      </w:r>
      <w:r w:rsidRPr="00B062C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керуючись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12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жовтня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2022 р. № 1178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затвердження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здійснення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публічних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закупівель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робіт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замовників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передбачених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Законом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пудлічні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», на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період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дії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правового режиму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воєнного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стану в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протягом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90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днів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 дня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припинення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або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скасування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9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червня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 р. № 590 (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із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змінами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доповненнями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уклали цей договір про </w:t>
      </w:r>
      <w:proofErr w:type="gramStart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наступне  (</w:t>
      </w:r>
      <w:proofErr w:type="gramEnd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далі Договір): </w:t>
      </w:r>
    </w:p>
    <w:p w:rsidR="009752AA" w:rsidRPr="00EE2C70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I. Предмет договору</w:t>
      </w:r>
    </w:p>
    <w:p w:rsidR="00750E64" w:rsidRPr="00750E64" w:rsidRDefault="009752AA" w:rsidP="00750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1.1. Постачальник зобов'язується у період дії Договору,  на підставі  письмових заявок ( Додаток №2)  Замовника, поставити   Замовнику товар</w:t>
      </w:r>
      <w:r w:rsidR="00750E64" w:rsidRPr="00750E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50E64" w:rsidRPr="00750E64">
        <w:rPr>
          <w:rFonts w:ascii="Times New Roman" w:hAnsi="Times New Roman"/>
          <w:b/>
          <w:sz w:val="24"/>
          <w:szCs w:val="24"/>
          <w:lang w:val="uk-UA"/>
        </w:rPr>
        <w:t>Антипаркувальні</w:t>
      </w:r>
      <w:proofErr w:type="spellEnd"/>
      <w:r w:rsidR="00750E64" w:rsidRPr="00750E64">
        <w:rPr>
          <w:rFonts w:ascii="Times New Roman" w:hAnsi="Times New Roman"/>
          <w:b/>
          <w:sz w:val="24"/>
          <w:szCs w:val="24"/>
          <w:lang w:val="uk-UA"/>
        </w:rPr>
        <w:t xml:space="preserve">  стаціонарні стовпчики з нержавіючої сталі</w:t>
      </w:r>
      <w:r w:rsidR="00750E64" w:rsidRPr="00750E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0E64" w:rsidRPr="00750E64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(ДК 021-2015 </w:t>
      </w:r>
      <w:r w:rsidR="00750E64" w:rsidRPr="00750E64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750E64" w:rsidRPr="00750E64">
        <w:rPr>
          <w:rFonts w:ascii="Times New Roman" w:hAnsi="Times New Roman"/>
          <w:b/>
          <w:snapToGrid w:val="0"/>
          <w:sz w:val="24"/>
          <w:szCs w:val="24"/>
          <w:lang w:val="uk-UA"/>
        </w:rPr>
        <w:t>Код 34920000-2 «Дорожнє обладнання»)</w:t>
      </w:r>
    </w:p>
    <w:p w:rsidR="009752AA" w:rsidRPr="00861E0E" w:rsidRDefault="009752AA" w:rsidP="00300227">
      <w:pPr>
        <w:keepLines/>
        <w:autoSpaceDE w:val="0"/>
        <w:autoSpaceDN w:val="0"/>
        <w:spacing w:after="0" w:line="240" w:lineRule="auto"/>
        <w:rPr>
          <w:rFonts w:ascii="Times New Roman" w:hAnsi="Times New Roman"/>
          <w:spacing w:val="-3"/>
          <w:sz w:val="24"/>
          <w:szCs w:val="24"/>
          <w:lang w:val="uk-UA"/>
        </w:rPr>
      </w:pPr>
      <w:r w:rsidRPr="00861E0E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,</w:t>
      </w:r>
      <w:r w:rsidRPr="00861E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благоустрою території та утримання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вулично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-шляхової мережі Голосіївського району</w:t>
      </w:r>
      <w:r w:rsidRPr="00861E0E"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861E0E"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надалі  Товар, а Замовник - прийняти і оплатити поставлений товар.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1.2.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Кількість товарів,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по цінам за одиницю  зазначені в специфікації (Додаток №1).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1.4. Бюджетні зобов’язання  за даним договором виникають у разі наявності та межах відповід</w:t>
      </w:r>
      <w:r w:rsidR="00300227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них бюджетних асигнувань на 2023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.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II. Якість товарів, робіт чи послуг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2.1.Постачальник  повинен поставити товар  Замовнику, якість якого відповідає умовам:     ДСТУ, ТУ,  діючим в Україні</w:t>
      </w:r>
      <w:bookmarkStart w:id="2" w:name="37"/>
      <w:bookmarkStart w:id="3" w:name="38"/>
      <w:bookmarkEnd w:id="2"/>
      <w:bookmarkEnd w:id="3"/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 для даного виду товару.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2.2.Постачальник надає Замовнику  посвідчення  якості   товару на  кількість Товару, що поставляється.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      </w:t>
      </w: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2.3. За поставку товару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неналежної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Постачальник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сплачує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користь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Замовника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штраф</w:t>
      </w:r>
      <w:proofErr w:type="gram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розмірі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20%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вартості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неякісного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товару та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замінює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якісний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свій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рахунок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протягом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 (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двох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календарних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днів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2.4.Кожен випадок поставки неякісного товару  оформляється двостороннім актом. 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2.5.На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України, але не менше 12 місяців.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sz w:val="24"/>
          <w:szCs w:val="24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III. Сума  договору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>3.1.Сума цього Договору становить з ПДВ  -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</w:t>
      </w:r>
      <w:r w:rsidR="005727C8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>____</w:t>
      </w:r>
      <w:r w:rsidR="005727C8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(</w:t>
      </w:r>
      <w:r w:rsidR="00016142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гривень   00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коп.)   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т.ч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 ПДВ – 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  </w:t>
      </w:r>
      <w:r w:rsidR="00AC2572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.00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грн.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 бюджетного фонду -         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грн.            </w:t>
      </w:r>
    </w:p>
    <w:p w:rsidR="009752AA" w:rsidRPr="00861E0E" w:rsidRDefault="009752AA" w:rsidP="009752AA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поточного рахунку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              грн.                                              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3.2. Сума цього Договору може бути зменшена за взаємною згодою Сторін 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IV. Порядок здійснення оплати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4.1. Розрахунки проводяться шляхом</w:t>
      </w:r>
      <w:bookmarkStart w:id="4" w:name="46"/>
      <w:bookmarkEnd w:id="4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30 (тридцять) банківських днів з дня отримання товару.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4.2. У разі затримки бюджетного  фінансування  розрахунок за поставлений товар  буде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здійснюватись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4.3. До рахунку додаються    видаткова  накладна</w:t>
      </w:r>
      <w:bookmarkStart w:id="5" w:name="55"/>
      <w:bookmarkEnd w:id="5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V. Поставка товарів , робіт та надання послуг.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bookmarkStart w:id="6" w:name="56"/>
      <w:bookmarkEnd w:id="6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5.1. Строк поставки товару -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до 31.12.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="00300227"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2023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року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5.2. Поставка товару здійснюєтьс</w:t>
      </w:r>
      <w:r w:rsidR="00750E6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я Постачальником протягом 14 календарних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днів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з дня надання заявки ( Додаток № 2)   Замовником.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5.3. Місце поставки т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овару  - м. Київ, проспект Науки,53</w:t>
      </w:r>
      <w:r w:rsidR="00C20A6C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bookmarkStart w:id="7" w:name="_GoBack"/>
      <w:bookmarkEnd w:id="7"/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5.4. Заявка  ( 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ел.адреса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Постачальника _______________________)</w:t>
      </w: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VI. Права та обов'язки сторін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6.1. Замовник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 Замовник має право: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6.2.2. Контролювати поставку товару  у строки, встановлені цим Договором;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печатки,підписів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тощо);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 Постачальник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: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видатки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проведення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експертизи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вартість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відновлюваного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ремонту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транспортних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засобів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вийшли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з ладу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використання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товару 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неналежної</w:t>
      </w:r>
      <w:proofErr w:type="spellEnd"/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 Постачальник має право: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6.4.1. Своєчасно та в повному обсязі отримувати плату за поставлений товар 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6.4.2. На дострокову  поставку товару   за письмовим погодженням  Замовника;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6.4.4. Інші права </w:t>
      </w:r>
    </w:p>
    <w:p w:rsidR="009752AA" w:rsidRPr="00861E0E" w:rsidRDefault="009752AA" w:rsidP="009752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Вимагати від Замовника належного виконання своїх договірних зобов’язань.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6.5. </w:t>
      </w:r>
      <w:r w:rsidRPr="00861E0E">
        <w:rPr>
          <w:rFonts w:ascii="Times New Roman" w:hAnsi="Times New Roman"/>
          <w:snapToGrid w:val="0"/>
          <w:sz w:val="24"/>
          <w:szCs w:val="24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VII. Відповідальність сторін</w:t>
      </w:r>
    </w:p>
    <w:p w:rsidR="009752AA" w:rsidRPr="00861E0E" w:rsidRDefault="009752AA" w:rsidP="009752AA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7.4. У разі порушення строків поставки товару, Постачальник спл</w:t>
      </w:r>
      <w:r w:rsidR="00707809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ачує Замовнику штраф у розмірі 5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0 % від вартості Договору.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7.7. За дострокове розірвання Договору з вини Постачальника, Постачальник спл</w:t>
      </w:r>
      <w:r w:rsidR="00707809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ачує Замовнику штраф в розмірі 5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0% від вартості Договору.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-господарські санкції :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-зміна порядку оплати продукції (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робіт,послуг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-переведення платника на оплату після перевірки їх якості тощо 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 xml:space="preserve">7.9. Про застосування та вид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адресу ___________________________________ 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VIII. Обставини непереборної сили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IX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Вирішення спорів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</w:p>
    <w:p w:rsidR="009752AA" w:rsidRPr="00861E0E" w:rsidRDefault="00300227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752AA" w:rsidRPr="00861E0E" w:rsidRDefault="00300227" w:rsidP="009752AA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X. Строк дії договору</w:t>
      </w:r>
    </w:p>
    <w:p w:rsidR="009752AA" w:rsidRPr="00861E0E" w:rsidRDefault="009752AA" w:rsidP="009752AA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10.1.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набуває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скріплення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печатками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Сторін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227"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proofErr w:type="spellStart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>грудня</w:t>
      </w:r>
      <w:proofErr w:type="spellEnd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року, а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гарантійних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Договором –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10.2. Договір складений українською мовою в 2 ( двох) примірниках, по одному примірнику  кожній стороні 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Інші умови</w:t>
      </w:r>
      <w:bookmarkStart w:id="8" w:name="103"/>
      <w:bookmarkEnd w:id="8"/>
    </w:p>
    <w:p w:rsidR="009752AA" w:rsidRPr="00861E0E" w:rsidRDefault="009752AA" w:rsidP="009752AA">
      <w:pPr>
        <w:spacing w:before="20" w:after="20" w:line="240" w:lineRule="auto"/>
        <w:ind w:firstLine="450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11.1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11.2.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Істотні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можуть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змінюватися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після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сторонами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повному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обсязі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крім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випадків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відбулося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останнього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перевищувати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призвести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передачі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підтверджених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об’єктивних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спричинили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затримки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призведуть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ставок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зборів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податкового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навантаження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споживчих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валюти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біржових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котирувань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показників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Platts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ARGUS,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регульованих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тарифів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нормативів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середньозважених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електроенергію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“на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добу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наперед”,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застосовуються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положень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шостої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41 Закону.</w:t>
      </w:r>
    </w:p>
    <w:p w:rsidR="009752AA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 договору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bookmarkStart w:id="9" w:name="105"/>
      <w:bookmarkEnd w:id="9"/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Додатки до договору</w:t>
      </w:r>
      <w:bookmarkStart w:id="10" w:name="107"/>
      <w:bookmarkEnd w:id="10"/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ab/>
        <w:t xml:space="preserve">Невід'ємною частиною цього Договору є: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Додаток №1 (Специфікація)</w:t>
      </w:r>
      <w:bookmarkStart w:id="11" w:name="111"/>
      <w:bookmarkEnd w:id="11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( Додаток № 2)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V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Місцезнаходження та банківські реквізити сторін</w:t>
      </w:r>
      <w:bookmarkStart w:id="12" w:name="112"/>
      <w:bookmarkEnd w:id="12"/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: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9752AA" w:rsidRPr="00EE2C70" w:rsidTr="003C4D6F">
        <w:trPr>
          <w:trHeight w:val="380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Постачальник:</w:t>
            </w:r>
          </w:p>
        </w:tc>
      </w:tr>
      <w:tr w:rsidR="009752AA" w:rsidRPr="00EE2C70" w:rsidTr="003C4D6F">
        <w:trPr>
          <w:trHeight w:val="1711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EE2C70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D37AEB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9752AA" w:rsidRPr="00EE2C70" w:rsidRDefault="009752AA" w:rsidP="003C4D6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Начальник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lang w:val="uk-UA" w:eastAsia="ru-RU"/>
              </w:rPr>
            </w:pPr>
          </w:p>
        </w:tc>
      </w:tr>
    </w:tbl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№ 1 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                                                                                 СПЕЦИФІКАЦІЯ №1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договору  №</w:t>
      </w:r>
      <w:proofErr w:type="gramEnd"/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«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202</w:t>
      </w:r>
      <w:r w:rsidR="00A20D85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>3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р.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Один.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виміру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 за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ПДВ (грн.)</w:t>
            </w:r>
          </w:p>
        </w:tc>
      </w:tr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52AA" w:rsidTr="003C4D6F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9752AA" w:rsidTr="003C4D6F">
        <w:trPr>
          <w:trHeight w:val="380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Замовник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</w:tr>
      <w:tr w:rsidR="009752AA" w:rsidTr="003C4D6F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Шляхово</w:t>
            </w:r>
            <w:proofErr w:type="gram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-експлуатаційне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по ремонту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утриманню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шляхів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Голосіївського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району» м.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Києва</w:t>
            </w:r>
            <w:proofErr w:type="spellEnd"/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ЄДРПОУ 03334894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Адреса 03083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просп. Науки,53 </w:t>
            </w:r>
          </w:p>
          <w:p w:rsidR="009752AA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т/ф.524-93-45; 524-93-45(бух.);</w:t>
            </w:r>
          </w:p>
        </w:tc>
      </w:tr>
      <w:tr w:rsidR="009752AA" w:rsidTr="003C4D6F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 UA 938201720344360001000031454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888201720344311002100031454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UA083226690000026003300575291 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ПАТ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Ощадний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9752AA" w:rsidTr="003C4D6F">
        <w:trPr>
          <w:trHeight w:val="389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ІПН 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Начальник _____________________ </w:t>
      </w: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Гончаров  В.А.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lang w:eastAsia="ru-RU"/>
        </w:rPr>
        <w:t>Директор  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="00300227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 w:rsidR="0030022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01"/>
        <w:gridCol w:w="3427"/>
        <w:gridCol w:w="1842"/>
        <w:gridCol w:w="1858"/>
      </w:tblGrid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3ED3" w:rsidRDefault="001E3ED3"/>
    <w:sectPr w:rsidR="001E3ED3" w:rsidSect="001E29E1">
      <w:pgSz w:w="11909" w:h="16834"/>
      <w:pgMar w:top="567" w:right="62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D3"/>
    <w:rsid w:val="00016142"/>
    <w:rsid w:val="001E3ED3"/>
    <w:rsid w:val="00300227"/>
    <w:rsid w:val="0030137D"/>
    <w:rsid w:val="00541FE5"/>
    <w:rsid w:val="005727C8"/>
    <w:rsid w:val="00707809"/>
    <w:rsid w:val="00750E64"/>
    <w:rsid w:val="007C49D0"/>
    <w:rsid w:val="00861E0E"/>
    <w:rsid w:val="009752AA"/>
    <w:rsid w:val="009D379B"/>
    <w:rsid w:val="00A064E5"/>
    <w:rsid w:val="00A20D85"/>
    <w:rsid w:val="00AC2572"/>
    <w:rsid w:val="00B062CA"/>
    <w:rsid w:val="00C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B6DB"/>
  <w15:chartTrackingRefBased/>
  <w15:docId w15:val="{524884B4-0239-4C3D-BEF5-1A19730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A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10278</Words>
  <Characters>5859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2023-02-06T13:35:00Z</dcterms:created>
  <dcterms:modified xsi:type="dcterms:W3CDTF">2023-05-18T13:34:00Z</dcterms:modified>
</cp:coreProperties>
</file>