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
          <w:b/>
          <w:sz w:val="24"/>
          <w:szCs w:val="24"/>
          <w:lang w:val="ru-RU" w:eastAsia="zh-CN" w:bidi="hi-IN"/>
        </w:rPr>
      </w:pPr>
      <w:r>
        <w:rPr>
          <w:rFonts w:ascii="Times New Roman" w:hAnsi="Times New Roman"/>
          <w:b/>
          <w:sz w:val="24"/>
          <w:szCs w:val="24"/>
          <w:lang w:eastAsia="zh-CN" w:bidi="hi-IN"/>
        </w:rPr>
        <w:t>Додаток</w:t>
      </w:r>
      <w:bookmarkStart w:id="0" w:name="_GoBack"/>
      <w:bookmarkEnd w:id="0"/>
      <w:r>
        <w:rPr>
          <w:rFonts w:ascii="Times New Roman" w:hAnsi="Times New Roman"/>
          <w:b/>
          <w:sz w:val="24"/>
          <w:szCs w:val="24"/>
          <w:lang w:eastAsia="zh-CN" w:bidi="hi-IN"/>
        </w:rPr>
        <w:t xml:space="preserve"> </w:t>
      </w:r>
      <w:r>
        <w:rPr>
          <w:rFonts w:ascii="Times New Roman" w:hAnsi="Times New Roman"/>
          <w:b/>
          <w:sz w:val="24"/>
          <w:szCs w:val="24"/>
          <w:lang w:val="ru-RU" w:eastAsia="zh-CN" w:bidi="hi-IN"/>
        </w:rPr>
        <w:t>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
          <w:b/>
          <w:sz w:val="24"/>
          <w:szCs w:val="24"/>
          <w:lang w:eastAsia="zh-CN" w:bidi="hi-IN"/>
        </w:rPr>
      </w:pPr>
      <w:r>
        <w:rPr>
          <w:rFonts w:ascii="Times New Roman" w:hAnsi="Times New Roman"/>
          <w:b/>
          <w:sz w:val="24"/>
          <w:szCs w:val="24"/>
          <w:lang w:eastAsia="zh-CN" w:bidi="hi-IN"/>
        </w:rPr>
        <w:t>до тендерної документації</w:t>
      </w:r>
    </w:p>
    <w:p>
      <w:pPr>
        <w:pStyle w:val="Normal"/>
        <w:spacing w:lineRule="auto" w:line="240" w:before="0" w:after="0"/>
        <w:jc w:val="center"/>
        <w:rPr>
          <w:rFonts w:ascii="Times New Roman" w:hAnsi="Times New Roman"/>
          <w:b/>
          <w:b/>
          <w:sz w:val="24"/>
          <w:szCs w:val="24"/>
          <w:lang w:eastAsia="zh-CN"/>
        </w:rPr>
      </w:pPr>
      <w:r>
        <w:rPr>
          <w:rFonts w:ascii="Times New Roman" w:hAnsi="Times New Roman"/>
          <w:b/>
          <w:sz w:val="24"/>
          <w:szCs w:val="24"/>
          <w:lang w:eastAsia="zh-CN"/>
        </w:rPr>
      </w:r>
    </w:p>
    <w:p>
      <w:pPr>
        <w:pStyle w:val="Normal"/>
        <w:spacing w:lineRule="auto" w:line="240" w:before="0" w:after="0"/>
        <w:jc w:val="center"/>
        <w:rPr>
          <w:rFonts w:ascii="Times New Roman" w:hAnsi="Times New Roman"/>
          <w:b/>
          <w:b/>
          <w:sz w:val="24"/>
          <w:szCs w:val="24"/>
          <w:lang w:eastAsia="zh-CN"/>
        </w:rPr>
      </w:pPr>
      <w:r>
        <w:rPr>
          <w:rFonts w:ascii="Times New Roman" w:hAnsi="Times New Roman"/>
          <w:b/>
          <w:sz w:val="24"/>
          <w:szCs w:val="24"/>
          <w:lang w:eastAsia="zh-CN"/>
        </w:rPr>
        <w:t>ТЕХНІЧНЕ ЗАВДАННЯ</w:t>
      </w:r>
    </w:p>
    <w:p>
      <w:pPr>
        <w:pStyle w:val="Normal"/>
        <w:spacing w:before="0" w:after="0"/>
        <w:jc w:val="center"/>
        <w:rPr>
          <w:rFonts w:ascii="Times New Roman" w:hAnsi="Times New Roman"/>
          <w:b/>
          <w:b/>
          <w:bCs/>
          <w:sz w:val="24"/>
          <w:szCs w:val="24"/>
        </w:rPr>
      </w:pPr>
      <w:r>
        <w:rPr>
          <w:rFonts w:ascii="Times New Roman" w:hAnsi="Times New Roman"/>
          <w:b/>
          <w:bCs/>
          <w:sz w:val="24"/>
          <w:szCs w:val="24"/>
        </w:rPr>
        <w:t xml:space="preserve">Інформація про необхідні технічні, якісні та кількісні характеристики </w:t>
      </w:r>
    </w:p>
    <w:p>
      <w:pPr>
        <w:pStyle w:val="Normal"/>
        <w:spacing w:before="0" w:after="0"/>
        <w:jc w:val="center"/>
        <w:rPr>
          <w:rFonts w:ascii="Times New Roman" w:hAnsi="Times New Roman"/>
          <w:b/>
          <w:b/>
          <w:bCs/>
          <w:sz w:val="24"/>
          <w:szCs w:val="24"/>
        </w:rPr>
      </w:pPr>
      <w:r>
        <w:rPr>
          <w:rFonts w:ascii="Times New Roman" w:hAnsi="Times New Roman"/>
          <w:b/>
          <w:bCs/>
          <w:sz w:val="24"/>
          <w:szCs w:val="24"/>
        </w:rPr>
        <w:t>предмета закупівлі</w:t>
      </w:r>
    </w:p>
    <w:p>
      <w:pPr>
        <w:pStyle w:val="Normal"/>
        <w:spacing w:before="0" w:after="0"/>
        <w:jc w:val="center"/>
        <w:rPr>
          <w:rFonts w:ascii="Times New Roman" w:hAnsi="Times New Roman"/>
          <w:b/>
          <w:b/>
          <w:bCs/>
          <w:i/>
          <w:i/>
          <w:iCs/>
          <w:sz w:val="24"/>
          <w:szCs w:val="24"/>
        </w:rPr>
      </w:pPr>
      <w:r>
        <w:rPr>
          <w:rFonts w:ascii="Times New Roman" w:hAnsi="Times New Roman"/>
          <w:b/>
          <w:bCs/>
          <w:i/>
          <w:iCs/>
          <w:sz w:val="24"/>
          <w:szCs w:val="24"/>
        </w:rPr>
      </w:r>
    </w:p>
    <w:tbl>
      <w:tblPr>
        <w:tblW w:w="5000" w:type="pct"/>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4535"/>
        <w:gridCol w:w="5437"/>
      </w:tblGrid>
      <w:tr>
        <w:trPr>
          <w:trHeight w:val="896" w:hRule="atLeast"/>
        </w:trPr>
        <w:tc>
          <w:tcPr>
            <w:tcW w:w="45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Назва предмета закупівлі</w:t>
            </w:r>
          </w:p>
        </w:tc>
        <w:tc>
          <w:tcPr>
            <w:tcW w:w="543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5220" w:leader="none"/>
              </w:tabs>
              <w:spacing w:lineRule="auto" w:line="240" w:before="0" w:after="0"/>
              <w:jc w:val="both"/>
              <w:rPr>
                <w:rFonts w:ascii="Times New Roman" w:hAnsi="Times New Roman"/>
                <w:sz w:val="24"/>
                <w:szCs w:val="24"/>
              </w:rPr>
            </w:pPr>
            <w:r>
              <w:rPr>
                <w:rFonts w:ascii="Times New Roman" w:hAnsi="Times New Roman"/>
                <w:sz w:val="24"/>
                <w:szCs w:val="24"/>
              </w:rPr>
              <w:t>Проведення технічної інвентаризації (в тому числі виготовлення технічних паспортів) на об’єкти нерухомості (службові квартири у житлових будинках), внесення інформації про проведену технічну інвентаризацію до Єдиної державної електронної системи у сфері будівництва</w:t>
            </w:r>
            <w:bookmarkStart w:id="1" w:name="_Hlk161168300"/>
            <w:bookmarkEnd w:id="1"/>
          </w:p>
        </w:tc>
      </w:tr>
      <w:tr>
        <w:trPr>
          <w:trHeight w:val="243" w:hRule="atLeast"/>
        </w:trPr>
        <w:tc>
          <w:tcPr>
            <w:tcW w:w="45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Код ДК 021:2015</w:t>
            </w:r>
          </w:p>
        </w:tc>
        <w:tc>
          <w:tcPr>
            <w:tcW w:w="5437"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eastAsia="Times New Roman" w:cs="Times New Roman"/>
                <w:b/>
                <w:b/>
                <w:sz w:val="24"/>
                <w:szCs w:val="24"/>
              </w:rPr>
            </w:pPr>
            <w:bookmarkStart w:id="2" w:name="_Hlk144228854"/>
            <w:r>
              <w:rPr>
                <w:rFonts w:eastAsia="Times New Roman" w:cs="Times New Roman" w:ascii="Times New Roman" w:hAnsi="Times New Roman"/>
                <w:sz w:val="24"/>
                <w:szCs w:val="24"/>
              </w:rPr>
              <w:t>71240000-2: Архітектурні, інженерні та планувальні послуги</w:t>
            </w:r>
            <w:bookmarkEnd w:id="2"/>
          </w:p>
        </w:tc>
      </w:tr>
      <w:tr>
        <w:trPr/>
        <w:tc>
          <w:tcPr>
            <w:tcW w:w="45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437"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71240000-2: Архітектурні, інженерні та планувальні послуги</w:t>
            </w:r>
          </w:p>
        </w:tc>
      </w:tr>
      <w:tr>
        <w:trPr>
          <w:trHeight w:val="25" w:hRule="atLeast"/>
        </w:trPr>
        <w:tc>
          <w:tcPr>
            <w:tcW w:w="45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Строк надання послуг</w:t>
            </w:r>
          </w:p>
        </w:tc>
        <w:tc>
          <w:tcPr>
            <w:tcW w:w="543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До </w:t>
            </w:r>
            <w:r>
              <w:rPr>
                <w:rFonts w:eastAsia="Times New Roman" w:cs="Times New Roman" w:ascii="Times New Roman" w:hAnsi="Times New Roman"/>
                <w:sz w:val="24"/>
                <w:szCs w:val="24"/>
                <w:lang w:val="ru-RU"/>
              </w:rPr>
              <w:t>30.06</w:t>
            </w:r>
            <w:r>
              <w:rPr>
                <w:rFonts w:ascii="Times New Roman" w:hAnsi="Times New Roman"/>
                <w:sz w:val="24"/>
                <w:szCs w:val="24"/>
              </w:rPr>
              <w:t>.2024 року.</w:t>
            </w:r>
          </w:p>
        </w:tc>
      </w:tr>
    </w:tbl>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Учасник зобов’язується надати </w:t>
      </w:r>
      <w:r>
        <w:rPr>
          <w:rFonts w:eastAsia="Times New Roman" w:cs="Times New Roman" w:ascii="Times New Roman" w:hAnsi="Times New Roman"/>
          <w:sz w:val="24"/>
          <w:szCs w:val="24"/>
        </w:rPr>
        <w:t>П</w:t>
      </w:r>
      <w:r>
        <w:rPr>
          <w:rFonts w:cs="Times New Roman" w:ascii="Times New Roman" w:hAnsi="Times New Roman"/>
          <w:sz w:val="24"/>
          <w:szCs w:val="24"/>
        </w:rPr>
        <w:t>ослуги з виготовлення технічних паспортів на об’єкти нерухомого майна, а саме:</w:t>
      </w:r>
    </w:p>
    <w:p>
      <w:pPr>
        <w:pStyle w:val="NoSpacing"/>
        <w:numPr>
          <w:ilvl w:val="0"/>
          <w:numId w:val="4"/>
        </w:numPr>
        <w:ind w:left="0" w:firstLine="567"/>
        <w:jc w:val="both"/>
        <w:rPr>
          <w:rFonts w:ascii="Times New Roman" w:hAnsi="Times New Roman" w:cs="Times New Roman"/>
          <w:sz w:val="24"/>
          <w:szCs w:val="24"/>
        </w:rPr>
      </w:pPr>
      <w:r>
        <w:rPr>
          <w:rFonts w:cs="Times New Roman" w:ascii="Times New Roman" w:hAnsi="Times New Roman"/>
          <w:sz w:val="24"/>
          <w:szCs w:val="24"/>
        </w:rPr>
        <w:t>виконати інвентаризацію об’єктів нерухомого майна державної власності.</w:t>
      </w:r>
    </w:p>
    <w:p>
      <w:pPr>
        <w:pStyle w:val="NoSpacing"/>
        <w:numPr>
          <w:ilvl w:val="0"/>
          <w:numId w:val="4"/>
        </w:numPr>
        <w:ind w:left="0" w:firstLine="567"/>
        <w:jc w:val="both"/>
        <w:rPr>
          <w:rFonts w:ascii="Times New Roman" w:hAnsi="Times New Roman" w:cs="Times New Roman"/>
          <w:sz w:val="24"/>
          <w:szCs w:val="24"/>
        </w:rPr>
      </w:pPr>
      <w:r>
        <w:rPr>
          <w:rFonts w:cs="Times New Roman" w:ascii="Times New Roman" w:hAnsi="Times New Roman"/>
          <w:sz w:val="24"/>
          <w:szCs w:val="24"/>
        </w:rPr>
        <w:t>виготовлення технічних паспортів на об’єкти нерухомого майна;</w:t>
      </w:r>
    </w:p>
    <w:p>
      <w:pPr>
        <w:pStyle w:val="NoSpacing"/>
        <w:numPr>
          <w:ilvl w:val="0"/>
          <w:numId w:val="4"/>
        </w:numPr>
        <w:ind w:left="0" w:firstLine="567"/>
        <w:jc w:val="both"/>
        <w:rPr>
          <w:rFonts w:ascii="Times New Roman" w:hAnsi="Times New Roman" w:cs="Times New Roman"/>
          <w:sz w:val="24"/>
          <w:szCs w:val="24"/>
        </w:rPr>
      </w:pPr>
      <w:r>
        <w:rPr>
          <w:rFonts w:cs="Times New Roman" w:ascii="Times New Roman" w:hAnsi="Times New Roman"/>
          <w:sz w:val="24"/>
          <w:szCs w:val="24"/>
        </w:rPr>
        <w:t xml:space="preserve">внесення відомостей про проведену технічну інвентаризацію до Єдиної державної електронної системи у сфері будівництва; </w:t>
      </w:r>
    </w:p>
    <w:p>
      <w:pPr>
        <w:pStyle w:val="NoSpacing"/>
        <w:numPr>
          <w:ilvl w:val="0"/>
          <w:numId w:val="4"/>
        </w:numPr>
        <w:ind w:left="0" w:firstLine="567"/>
        <w:jc w:val="both"/>
        <w:rPr>
          <w:rFonts w:ascii="Times New Roman" w:hAnsi="Times New Roman" w:cs="Times New Roman"/>
          <w:sz w:val="24"/>
          <w:szCs w:val="24"/>
        </w:rPr>
      </w:pPr>
      <w:r>
        <w:rPr>
          <w:rFonts w:cs="Times New Roman" w:ascii="Times New Roman" w:hAnsi="Times New Roman"/>
          <w:sz w:val="24"/>
          <w:szCs w:val="24"/>
        </w:rPr>
        <w:t>видача витягів з Єдиної державної електронної системи у сфері будівництва з  реєстраційним номером на об’єкти нерухомого майна.</w:t>
      </w:r>
    </w:p>
    <w:tbl>
      <w:tblPr>
        <w:tblStyle w:val="a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962"/>
        <w:gridCol w:w="3674"/>
        <w:gridCol w:w="1337"/>
      </w:tblGrid>
      <w:tr>
        <w:trPr/>
        <w:tc>
          <w:tcPr>
            <w:tcW w:w="4962" w:type="dxa"/>
            <w:tcBorders/>
            <w:vAlign w:val="center"/>
          </w:tcPr>
          <w:p>
            <w:pPr>
              <w:pStyle w:val="NoSpacing"/>
              <w:widowControl/>
              <w:spacing w:before="0" w:after="0"/>
              <w:jc w:val="both"/>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Адреси об’єктів нерухомого майна</w:t>
            </w:r>
          </w:p>
        </w:tc>
        <w:tc>
          <w:tcPr>
            <w:tcW w:w="3674" w:type="dxa"/>
            <w:tcBorders/>
            <w:vAlign w:val="center"/>
          </w:tcPr>
          <w:p>
            <w:pPr>
              <w:pStyle w:val="NoSpacing"/>
              <w:widowControl/>
              <w:spacing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Номера квартир</w:t>
            </w:r>
          </w:p>
        </w:tc>
        <w:tc>
          <w:tcPr>
            <w:tcW w:w="1337" w:type="dxa"/>
            <w:tcBorders/>
            <w:vAlign w:val="center"/>
          </w:tcPr>
          <w:p>
            <w:pPr>
              <w:pStyle w:val="Normal"/>
              <w:widowControl/>
              <w:spacing w:lineRule="auto" w:line="240" w:before="0" w:after="0"/>
              <w:jc w:val="center"/>
              <w:rPr>
                <w:rFonts w:ascii="Times New Roman" w:hAnsi="Times New Roman"/>
                <w:b/>
                <w:b/>
                <w:bCs/>
                <w:sz w:val="24"/>
                <w:szCs w:val="24"/>
              </w:rPr>
            </w:pPr>
            <w:r>
              <w:rPr>
                <w:rFonts w:ascii="Times New Roman" w:hAnsi="Times New Roman"/>
                <w:b/>
                <w:bCs/>
                <w:kern w:val="0"/>
                <w:sz w:val="24"/>
                <w:szCs w:val="24"/>
                <w:lang w:eastAsia="en-US" w:bidi="ar-SA"/>
              </w:rPr>
              <w:t>Кількість, (квартир)</w:t>
            </w:r>
          </w:p>
        </w:tc>
      </w:tr>
      <w:tr>
        <w:trPr/>
        <w:tc>
          <w:tcPr>
            <w:tcW w:w="4962" w:type="dxa"/>
            <w:tcBorders/>
            <w:vAlign w:val="center"/>
          </w:tcPr>
          <w:p>
            <w:pPr>
              <w:pStyle w:val="Standard"/>
              <w:widowControl/>
              <w:spacing w:before="0" w:after="0"/>
              <w:jc w:val="left"/>
              <w:rPr>
                <w:rFonts w:ascii="Times New Roman" w:hAnsi="Times New Roman" w:cs="Times New Roman"/>
              </w:rPr>
            </w:pPr>
            <w:r>
              <w:rPr>
                <w:rFonts w:cs="Times New Roman" w:ascii="Times New Roman" w:hAnsi="Times New Roman"/>
              </w:rPr>
              <w:t>Одеська обл., Подільський р-н, с. Жеребкове, вул. Арсенальна, будинок 109</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2; 4; 8</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110</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5; 6; 8; 9; 10</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6</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111</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3; 5; 10</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112</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5; 6; 7; 8; 9</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6</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113</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5; 9; 10</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118</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4; 7; 9; 11; 14; 18; 21</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8</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165</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3</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160</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200</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5; 7; 9; 10; 11; 13; 15</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8</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201</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3; 7; 13; 14</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5</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202</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8; 12; 14; 15</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5</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159</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3; 8</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164</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5; 8</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401</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 5; 9; 10; 13; 15; 16; 18; 22; 25; 26; 29; 31</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13</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402</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4; 5; 6; 7; 9; 10; 11; 13; 15; 16; 24; 27; 28; 30; 31</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16</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403</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 10; 15; 21; 22; 24; 25; 27; 28; 29; 31</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11</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404</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4; 6; 11; 14; 15; 16; 22; 24; 25; 28; 29; 30</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13</w:t>
            </w:r>
          </w:p>
        </w:tc>
      </w:tr>
      <w:tr>
        <w:trPr/>
        <w:tc>
          <w:tcPr>
            <w:tcW w:w="4962" w:type="dxa"/>
            <w:tcBorders/>
            <w:vAlign w:val="center"/>
          </w:tcPr>
          <w:p>
            <w:pPr>
              <w:pStyle w:val="NoSpacing"/>
              <w:widowControl/>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501</w:t>
            </w:r>
          </w:p>
        </w:tc>
        <w:tc>
          <w:tcPr>
            <w:tcW w:w="3674"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5; 8; 9; 11; 12; 13; 14; 16; 17; 19; 20; 22; 24; 26; 27; 28; 29; 31; 32; 33; 34; 35; 36; 37; 38; 40; 41; 42; 45; 46; 48; 51; 53; 54; 55; 56; 57; 58; 60</w:t>
            </w:r>
          </w:p>
        </w:tc>
        <w:tc>
          <w:tcPr>
            <w:tcW w:w="1337" w:type="dxa"/>
            <w:tcBorders/>
            <w:vAlign w:val="center"/>
          </w:tcPr>
          <w:p>
            <w:pPr>
              <w:pStyle w:val="NoSpacing"/>
              <w:widowControl/>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40</w:t>
            </w:r>
          </w:p>
        </w:tc>
      </w:tr>
      <w:tr>
        <w:trPr/>
        <w:tc>
          <w:tcPr>
            <w:tcW w:w="8636" w:type="dxa"/>
            <w:gridSpan w:val="2"/>
            <w:tcBorders/>
            <w:vAlign w:val="center"/>
          </w:tcPr>
          <w:p>
            <w:pPr>
              <w:pStyle w:val="NoSpacing"/>
              <w:widowControl/>
              <w:spacing w:before="0" w:after="0"/>
              <w:jc w:val="right"/>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РАЗОМ</w:t>
            </w:r>
          </w:p>
        </w:tc>
        <w:tc>
          <w:tcPr>
            <w:tcW w:w="1337" w:type="dxa"/>
            <w:tcBorders/>
            <w:vAlign w:val="center"/>
          </w:tcPr>
          <w:p>
            <w:pPr>
              <w:pStyle w:val="NoSpacing"/>
              <w:widowControl/>
              <w:spacing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151</w:t>
            </w:r>
          </w:p>
        </w:tc>
      </w:tr>
    </w:tbl>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Якість наданих послуг повинна відповідати вимогам діючого законодавства України, зокрема:</w:t>
      </w:r>
    </w:p>
    <w:p>
      <w:pPr>
        <w:pStyle w:val="NoSpacing"/>
        <w:ind w:firstLine="709"/>
        <w:jc w:val="both"/>
        <w:rPr>
          <w:rFonts w:ascii="Times New Roman" w:hAnsi="Times New Roman"/>
          <w:sz w:val="24"/>
          <w:szCs w:val="24"/>
          <w:lang w:val="ru-RU" w:eastAsia="ar-SA"/>
        </w:rPr>
      </w:pPr>
      <w:r>
        <w:rPr>
          <w:rFonts w:ascii="Times New Roman" w:hAnsi="Times New Roman"/>
          <w:sz w:val="24"/>
          <w:szCs w:val="24"/>
          <w:lang w:eastAsia="ar-SA"/>
        </w:rPr>
        <w:t xml:space="preserve">Закону України </w:t>
      </w:r>
      <w:r>
        <w:rPr>
          <w:rFonts w:ascii="Times New Roman" w:hAnsi="Times New Roman"/>
          <w:sz w:val="24"/>
          <w:szCs w:val="24"/>
          <w:lang w:val="ru-RU" w:eastAsia="ar-SA"/>
        </w:rPr>
        <w:t>“</w:t>
      </w:r>
      <w:r>
        <w:rPr>
          <w:rFonts w:ascii="Times New Roman" w:hAnsi="Times New Roman"/>
          <w:sz w:val="24"/>
          <w:szCs w:val="24"/>
          <w:lang w:eastAsia="ar-SA"/>
        </w:rPr>
        <w:t>Про регулювання містобудівної діяльності</w:t>
      </w:r>
      <w:r>
        <w:rPr>
          <w:rFonts w:ascii="Times New Roman" w:hAnsi="Times New Roman"/>
          <w:sz w:val="24"/>
          <w:szCs w:val="24"/>
          <w:lang w:val="ru-RU" w:eastAsia="ar-SA"/>
        </w:rPr>
        <w:t>”.</w:t>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t>Порядку проведення технічної інвентаризації, затвердженого постановою Кабінету Міністрів України від 12.05.2023 № 488.</w:t>
      </w:r>
    </w:p>
    <w:p>
      <w:pPr>
        <w:pStyle w:val="NoSpacing"/>
        <w:ind w:firstLine="709"/>
        <w:jc w:val="both"/>
        <w:rPr>
          <w:rFonts w:ascii="Times New Roman" w:hAnsi="Times New Roman"/>
          <w:sz w:val="24"/>
          <w:szCs w:val="24"/>
        </w:rPr>
      </w:pPr>
      <w:r>
        <w:rPr>
          <w:rFonts w:ascii="Times New Roman" w:hAnsi="Times New Roman"/>
          <w:sz w:val="24"/>
          <w:szCs w:val="24"/>
        </w:rPr>
        <w:t xml:space="preserve">Постанови Кабінету Міністрів України від 23.06.2021 № 681 “Деякі питання забезпечення функціонування Єдиної державної електронної системи у сфері будівництва” </w:t>
        <w:br/>
        <w:t>(із змінами)</w:t>
      </w:r>
    </w:p>
    <w:p>
      <w:pPr>
        <w:pStyle w:val="NoSpacing"/>
        <w:ind w:firstLine="709"/>
        <w:jc w:val="both"/>
        <w:rPr>
          <w:rFonts w:ascii="Times New Roman" w:hAnsi="Times New Roman"/>
          <w:sz w:val="24"/>
          <w:szCs w:val="24"/>
        </w:rPr>
      </w:pPr>
      <w:r>
        <w:rPr>
          <w:rFonts w:ascii="Times New Roman" w:hAnsi="Times New Roman"/>
          <w:sz w:val="24"/>
          <w:szCs w:val="24"/>
        </w:rPr>
        <w:t>Постанови Кабінету Міністрів України від 23.05.2011 № 554 “Деякі питання професійної атестації виконавців окремих видів робіт (послуг), пов'язаних із створенням об'єктів архітектури”</w:t>
      </w:r>
    </w:p>
    <w:p>
      <w:pPr>
        <w:pStyle w:val="NoSpacing"/>
        <w:ind w:firstLine="709"/>
        <w:jc w:val="both"/>
        <w:rPr>
          <w:rFonts w:ascii="Times New Roman" w:hAnsi="Times New Roman"/>
          <w:sz w:val="24"/>
          <w:szCs w:val="24"/>
        </w:rPr>
      </w:pPr>
      <w:r>
        <w:rPr>
          <w:rFonts w:ascii="Times New Roman" w:hAnsi="Times New Roman"/>
          <w:sz w:val="24"/>
          <w:szCs w:val="24"/>
        </w:rPr>
        <w:t>Постанови Кабінету Міністрів України від 04.06.2015 № 374 “Про затвердження переліку категорій законодавчо регульованих засобів вимірювальної техніки, що підлягають періодичній повірці”</w:t>
      </w:r>
    </w:p>
    <w:p>
      <w:pPr>
        <w:pStyle w:val="NoSpacing"/>
        <w:ind w:firstLine="709"/>
        <w:jc w:val="both"/>
        <w:rPr>
          <w:rFonts w:ascii="Times New Roman" w:hAnsi="Times New Roman"/>
          <w:sz w:val="24"/>
          <w:szCs w:val="24"/>
        </w:rPr>
      </w:pPr>
      <w:r>
        <w:rPr>
          <w:rFonts w:ascii="Times New Roman" w:hAnsi="Times New Roman"/>
          <w:sz w:val="24"/>
          <w:szCs w:val="24"/>
        </w:rPr>
        <w:t>Постанови Кабінету Міністрів України від 04.06.2015 № 374 “Про затвердження переліку категорій законодавчо врегульованих засобів вимірювальної техніки, що підлягають періодичній повірці”.</w:t>
      </w:r>
    </w:p>
    <w:p>
      <w:pPr>
        <w:pStyle w:val="NoSpacing"/>
        <w:ind w:firstLine="709"/>
        <w:jc w:val="both"/>
        <w:rPr>
          <w:rFonts w:ascii="Times New Roman" w:hAnsi="Times New Roman"/>
          <w:sz w:val="24"/>
          <w:szCs w:val="24"/>
        </w:rPr>
      </w:pPr>
      <w:r>
        <w:rPr>
          <w:rFonts w:ascii="Times New Roman" w:hAnsi="Times New Roman"/>
          <w:sz w:val="24"/>
          <w:szCs w:val="24"/>
        </w:rPr>
        <w:t xml:space="preserve">Закону України </w:t>
      </w:r>
      <w:r>
        <w:rPr>
          <w:rFonts w:ascii="Times New Roman" w:hAnsi="Times New Roman"/>
          <w:sz w:val="24"/>
          <w:szCs w:val="24"/>
          <w:lang w:val="ru-RU"/>
        </w:rPr>
        <w:t>“</w:t>
      </w:r>
      <w:r>
        <w:rPr>
          <w:rFonts w:ascii="Times New Roman" w:hAnsi="Times New Roman"/>
          <w:sz w:val="24"/>
          <w:szCs w:val="24"/>
        </w:rPr>
        <w:t>Про державну реєстрацію речових прав на нерухоме майно та їх обтяжень” від 01.07.2004 № 1952-IV.</w:t>
      </w:r>
    </w:p>
    <w:p>
      <w:pPr>
        <w:pStyle w:val="NoSpacing"/>
        <w:ind w:firstLine="709"/>
        <w:jc w:val="both"/>
        <w:rPr>
          <w:rFonts w:ascii="Times New Roman" w:hAnsi="Times New Roman"/>
          <w:sz w:val="24"/>
          <w:szCs w:val="24"/>
        </w:rPr>
      </w:pPr>
      <w:r>
        <w:rPr>
          <w:rFonts w:ascii="Times New Roman" w:hAnsi="Times New Roman"/>
          <w:sz w:val="24"/>
          <w:szCs w:val="24"/>
          <w:lang w:eastAsia="ar-SA"/>
        </w:rPr>
        <w:t>Інших вимог законодавства, чинного на момент надання послуг, інших вимог законодавства, чинного на момент надання послуг.</w:t>
      </w:r>
      <w:bookmarkStart w:id="3" w:name="_Hlk87007729"/>
      <w:bookmarkEnd w:id="3"/>
    </w:p>
    <w:p>
      <w:pPr>
        <w:pStyle w:val="Normal"/>
        <w:widowControl w:val="false"/>
        <w:numPr>
          <w:ilvl w:val="6"/>
          <w:numId w:val="1"/>
        </w:numPr>
        <w:shd w:val="clear" w:color="auto" w:fill="FFFFFF"/>
        <w:tabs>
          <w:tab w:val="clear" w:pos="720"/>
        </w:tabs>
        <w:suppressAutoHyphens w:val="true"/>
        <w:spacing w:lineRule="auto" w:line="240" w:before="0" w:after="0"/>
        <w:ind w:left="0" w:firstLine="709"/>
        <w:jc w:val="center"/>
        <w:rPr>
          <w:rFonts w:ascii="Times New Roman" w:hAnsi="Times New Roman"/>
          <w:sz w:val="24"/>
          <w:szCs w:val="24"/>
          <w:lang w:eastAsia="ru-RU"/>
        </w:rPr>
      </w:pPr>
      <w:r>
        <w:rPr>
          <w:rFonts w:ascii="Times New Roman" w:hAnsi="Times New Roman"/>
          <w:b/>
          <w:bCs/>
          <w:iCs/>
          <w:spacing w:val="-1"/>
          <w:sz w:val="24"/>
          <w:szCs w:val="24"/>
          <w:lang w:eastAsia="ru-RU"/>
        </w:rPr>
        <w:t>Вимоги до якості послуг, що надаються:</w:t>
      </w:r>
    </w:p>
    <w:p>
      <w:pPr>
        <w:pStyle w:val="ListParagraph"/>
        <w:widowControl w:val="false"/>
        <w:spacing w:lineRule="auto" w:line="240" w:before="0"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Послуги з технічної інвентаризації об</w:t>
      </w:r>
      <w:r>
        <w:rPr>
          <w:rFonts w:ascii="Times New Roman" w:hAnsi="Times New Roman"/>
          <w:color w:val="000000"/>
          <w:sz w:val="24"/>
          <w:szCs w:val="24"/>
          <w:lang w:val="ru-RU"/>
        </w:rPr>
        <w:t>’</w:t>
      </w:r>
      <w:r>
        <w:rPr>
          <w:rFonts w:ascii="Times New Roman" w:hAnsi="Times New Roman"/>
          <w:color w:val="000000"/>
          <w:sz w:val="24"/>
          <w:szCs w:val="24"/>
        </w:rPr>
        <w:t xml:space="preserve">єктів нерухомого майна Міністерства оборони України складаються з наступного: </w:t>
      </w:r>
    </w:p>
    <w:p>
      <w:pPr>
        <w:pStyle w:val="Rvps2"/>
        <w:numPr>
          <w:ilvl w:val="0"/>
          <w:numId w:val="3"/>
        </w:numPr>
        <w:shd w:val="clear" w:color="auto" w:fill="FFFFFF"/>
        <w:spacing w:beforeAutospacing="0" w:before="0" w:afterAutospacing="0" w:after="0"/>
        <w:ind w:left="0" w:firstLine="709"/>
        <w:jc w:val="both"/>
        <w:rPr>
          <w:color w:val="333333"/>
        </w:rPr>
      </w:pPr>
      <w:r>
        <w:rPr>
          <w:color w:val="333333"/>
        </w:rPr>
        <w:t>підготовка до обстеження об’єкта нерухомого майна (вивчення документів, що стосуються інвентаризації);</w:t>
      </w:r>
    </w:p>
    <w:p>
      <w:pPr>
        <w:pStyle w:val="Rvps2"/>
        <w:numPr>
          <w:ilvl w:val="0"/>
          <w:numId w:val="3"/>
        </w:numPr>
        <w:shd w:val="clear" w:color="auto" w:fill="FFFFFF"/>
        <w:spacing w:beforeAutospacing="0" w:before="0" w:afterAutospacing="0" w:after="0"/>
        <w:ind w:left="0" w:firstLine="709"/>
        <w:jc w:val="both"/>
        <w:rPr>
          <w:color w:val="333333"/>
        </w:rPr>
      </w:pPr>
      <w:bookmarkStart w:id="4" w:name="n105"/>
      <w:bookmarkEnd w:id="4"/>
      <w:r>
        <w:rPr>
          <w:color w:val="000000"/>
        </w:rPr>
        <w:t xml:space="preserve">виїзд техніка та </w:t>
      </w:r>
      <w:r>
        <w:rPr>
          <w:color w:val="333333"/>
        </w:rPr>
        <w:t>обстеження об’єкта нерухомого майна;</w:t>
      </w:r>
    </w:p>
    <w:p>
      <w:pPr>
        <w:pStyle w:val="Rvps2"/>
        <w:numPr>
          <w:ilvl w:val="0"/>
          <w:numId w:val="3"/>
        </w:numPr>
        <w:shd w:val="clear" w:color="auto" w:fill="FFFFFF"/>
        <w:spacing w:beforeAutospacing="0" w:before="0" w:afterAutospacing="0" w:after="0"/>
        <w:ind w:left="0" w:firstLine="709"/>
        <w:jc w:val="both"/>
        <w:rPr>
          <w:color w:val="333333"/>
        </w:rPr>
      </w:pPr>
      <w:bookmarkStart w:id="5" w:name="n106"/>
      <w:bookmarkEnd w:id="5"/>
      <w:r>
        <w:rPr>
          <w:color w:val="333333"/>
        </w:rPr>
        <w:t>проведення вимірювальних робіт;</w:t>
      </w:r>
    </w:p>
    <w:p>
      <w:pPr>
        <w:pStyle w:val="Rvps2"/>
        <w:numPr>
          <w:ilvl w:val="0"/>
          <w:numId w:val="3"/>
        </w:numPr>
        <w:shd w:val="clear" w:color="auto" w:fill="FFFFFF"/>
        <w:spacing w:beforeAutospacing="0" w:before="0" w:afterAutospacing="0" w:after="0"/>
        <w:ind w:left="0" w:firstLine="709"/>
        <w:jc w:val="both"/>
        <w:rPr>
          <w:color w:val="333333"/>
        </w:rPr>
      </w:pPr>
      <w:bookmarkStart w:id="6" w:name="n107"/>
      <w:bookmarkEnd w:id="6"/>
      <w:r>
        <w:rPr>
          <w:color w:val="333333"/>
        </w:rPr>
        <w:t>визначення конструктивних елементів об’єктів нерухомого майна;</w:t>
      </w:r>
    </w:p>
    <w:p>
      <w:pPr>
        <w:pStyle w:val="ListParagraph"/>
        <w:widowControl w:val="false"/>
        <w:numPr>
          <w:ilvl w:val="0"/>
          <w:numId w:val="3"/>
        </w:numPr>
        <w:spacing w:lineRule="auto" w:line="240" w:before="0" w:after="0"/>
        <w:ind w:left="0" w:firstLine="709"/>
        <w:contextualSpacing/>
        <w:jc w:val="both"/>
        <w:rPr>
          <w:rFonts w:ascii="Times New Roman" w:hAnsi="Times New Roman"/>
          <w:color w:val="000000"/>
          <w:sz w:val="24"/>
          <w:szCs w:val="24"/>
        </w:rPr>
      </w:pPr>
      <w:bookmarkStart w:id="7" w:name="n108"/>
      <w:bookmarkEnd w:id="7"/>
      <w:r>
        <w:rPr>
          <w:rFonts w:ascii="Times New Roman" w:hAnsi="Times New Roman"/>
          <w:color w:val="333333"/>
          <w:sz w:val="24"/>
          <w:szCs w:val="24"/>
          <w:lang w:eastAsia="uk-UA"/>
        </w:rPr>
        <w:t>оформлення результатів технічної інвентаризації</w:t>
      </w:r>
      <w:r>
        <w:rPr>
          <w:rFonts w:ascii="Times New Roman" w:hAnsi="Times New Roman"/>
          <w:color w:val="000000"/>
          <w:sz w:val="24"/>
          <w:szCs w:val="24"/>
        </w:rPr>
        <w:t xml:space="preserve"> (складання схематичних креслень земельних ділянок, будинків, допоміжних будівель, будівельних конструкцій та споруд, складання інвентаризаційної справи).</w:t>
      </w:r>
    </w:p>
    <w:p>
      <w:pPr>
        <w:pStyle w:val="Normal"/>
        <w:widowControl w:val="false"/>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Обстеження проводиться у присутності замовника або уповноваженої ним особи шляхом візуального огляду об’єкта нерухомого майна з вимірюванням та визначенням його складу, фактичної площі, об’єму, технічного стану. Під час обстеження проводяться необхідні вимірювання кількісних характеристик об’єкта нерухомого майна з відображенням їх результатів у журналах обмірів, технічний опис його частин та конструктивних елементів </w:t>
      </w:r>
      <w:r>
        <w:rPr>
          <w:rFonts w:ascii="Times New Roman" w:hAnsi="Times New Roman"/>
          <w:i/>
          <w:iCs/>
          <w:color w:val="000000"/>
          <w:sz w:val="24"/>
          <w:szCs w:val="24"/>
        </w:rPr>
        <w:t>(виконується лазерним віддалеміром)</w:t>
      </w:r>
      <w:r>
        <w:rPr>
          <w:rFonts w:ascii="Times New Roman" w:hAnsi="Times New Roman"/>
          <w:color w:val="000000"/>
          <w:sz w:val="24"/>
          <w:szCs w:val="24"/>
        </w:rPr>
        <w:t>, фотофіксація.</w:t>
      </w:r>
    </w:p>
    <w:p>
      <w:pPr>
        <w:pStyle w:val="Normal"/>
        <w:widowControl w:val="false"/>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Вимірювання на об’єкті проводиться засобами вимірювальної техніки. Регульовані на законодавчому рівні засоби вимірювальної техніки, що застосовуються під час проведення технічної інвентаризації, повинні відповідати положенням Закону України “Про метрологію та метрологічну діяльність” та іншим нормативно-правовим актам, що містять вимоги до таких засобів. Учасник повинен надати у складі пропозиції чинні на момент подачі пропозиції документи, що підтверджують проведення, в установленому чинним законодавством порядку терміни, повірки всіх засобів вимірювальної техніки (віддалемір (далекомір)), що наведені учасником за відповідною довідкою згідно додатку 2 до тендерної документації.</w:t>
      </w:r>
    </w:p>
    <w:p>
      <w:pPr>
        <w:pStyle w:val="Normal"/>
        <w:widowControl w:val="false"/>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За результатами проведеної інвентаризації із дотриманням Порядку проведення технічної інвентаризації, затвердженого постановою Кабінету Міністрів України від 12.05.2023 № 488, Учасником складається технічний паспорт на об’єкт інвентаризації.</w:t>
      </w:r>
    </w:p>
    <w:p>
      <w:pPr>
        <w:pStyle w:val="ListParagraph"/>
        <w:widowControl w:val="false"/>
        <w:spacing w:lineRule="auto" w:line="240" w:before="0"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Всі відповідні дані щодо технічної інвентаризації повинні бути внесені до Єдиної державної електронної системи у сфері будівництва, ведення якої передбачено Порядком ведення Єдиної державної електронної системи у сфері будівництва, затвердженим постановою Кабінету Міністрів України від 23 червня 2021 року № 681 (із змінами).</w:t>
      </w:r>
    </w:p>
    <w:p>
      <w:pPr>
        <w:pStyle w:val="Normal"/>
        <w:spacing w:before="0" w:after="0"/>
        <w:ind w:firstLine="709"/>
        <w:rPr>
          <w:rFonts w:ascii="Times New Roman" w:hAnsi="Times New Roman"/>
          <w:sz w:val="24"/>
          <w:szCs w:val="24"/>
        </w:rPr>
      </w:pPr>
      <w:r>
        <w:rPr>
          <w:rFonts w:ascii="Times New Roman" w:hAnsi="Times New Roman"/>
          <w:sz w:val="24"/>
          <w:szCs w:val="24"/>
        </w:rPr>
        <w:t>Інвентаризаційна справа формується і ведеться на кожен об’єкт нерухомого майна на весь час його існування з використанням Реєстру будівельної діяльності в електронній формі та лише у паперовій формі, якщо містить відомості, що становлять державну таємницю відповідно до Закон України “Про державну таємницю”.</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Контроль за якістю надання послуг з технічної інвентаризації об’єктів здійснюється відповідальною особою, призначеною керівництвом Замовника.</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У разі виявлення недоліків (помилок) у технічних паспортах, недоліки підлягають виправленню (переробці) Учасником за власний рахунок.</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Технічна інвентаризація об’єктів нерухомого майна повинна проводитися суб’єктом господарювання, у складі якого працює один або більше відповідальних виконавців окремих видів робіт (послуг), пов’язаних із створенням об’єктів архітектури, які пройшли професійну атестацію у Мінрегіоні України та отримали кваліфікаційний сертифікат відповідно до статті 17 Закону України “Про архітектурну діяльність” та постанови Кабінету Міністрів України від 23 травня 2011 року № 554 “Деякі питання професійної атестації відповідальних виконавців окремих видів робіт (послуг), пов’язаних із створенням об’єктів архітектури”.</w:t>
      </w:r>
    </w:p>
    <w:p>
      <w:pPr>
        <w:pStyle w:val="ListParagraph"/>
        <w:widowControl w:val="false"/>
        <w:spacing w:lineRule="auto" w:line="240" w:before="0" w:after="0"/>
        <w:ind w:left="0" w:firstLine="709"/>
        <w:contextualSpacing/>
        <w:jc w:val="both"/>
        <w:rPr>
          <w:rFonts w:ascii="Times New Roman" w:hAnsi="Times New Roman" w:eastAsia="PMingLiU"/>
          <w:bCs/>
          <w:iCs/>
          <w:sz w:val="24"/>
          <w:szCs w:val="24"/>
        </w:rPr>
      </w:pPr>
      <w:r>
        <w:rPr>
          <w:rFonts w:eastAsia="PMingLiU" w:ascii="Times New Roman" w:hAnsi="Times New Roman"/>
          <w:bCs/>
          <w:iCs/>
          <w:sz w:val="24"/>
          <w:szCs w:val="24"/>
        </w:rPr>
        <w:t>У випадку відмови у здійсненні державної реєстрації права власності з підстав невідповідності технічної документації встановленим вимогам, Учасник послуг зобов’язаний переробити та / або доопрацювати технічні паспорти.</w:t>
      </w:r>
    </w:p>
    <w:p>
      <w:pPr>
        <w:pStyle w:val="ListParagraph"/>
        <w:widowControl w:val="false"/>
        <w:spacing w:lineRule="auto" w:line="240" w:before="0" w:after="0"/>
        <w:ind w:left="0" w:firstLine="709"/>
        <w:contextualSpacing/>
        <w:jc w:val="both"/>
        <w:rPr>
          <w:rFonts w:ascii="Times New Roman" w:hAnsi="Times New Roman" w:eastAsia="PMingLiU"/>
          <w:bCs/>
          <w:iCs/>
          <w:sz w:val="24"/>
          <w:szCs w:val="24"/>
        </w:rPr>
      </w:pPr>
      <w:r>
        <w:rPr>
          <w:rFonts w:eastAsia="PMingLiU" w:ascii="Times New Roman" w:hAnsi="Times New Roman"/>
          <w:bCs/>
          <w:iCs/>
          <w:sz w:val="24"/>
          <w:szCs w:val="24"/>
        </w:rPr>
        <w:t>Технічні паспорти мають бути виготовлені окремо на кожен об’єкт нерухомого майна (приміщення, групи приміщень, будівлю, споруду).</w:t>
      </w:r>
    </w:p>
    <w:p>
      <w:pPr>
        <w:pStyle w:val="ListParagraph"/>
        <w:widowControl w:val="false"/>
        <w:spacing w:lineRule="auto" w:line="240" w:before="0" w:after="0"/>
        <w:ind w:left="0" w:firstLine="709"/>
        <w:contextualSpacing/>
        <w:jc w:val="both"/>
        <w:rPr>
          <w:rFonts w:ascii="Times New Roman" w:hAnsi="Times New Roman" w:eastAsia="PMingLiU"/>
          <w:bCs/>
          <w:iCs/>
          <w:sz w:val="24"/>
          <w:szCs w:val="24"/>
        </w:rPr>
      </w:pPr>
      <w:r>
        <w:rPr>
          <w:rFonts w:eastAsia="PMingLiU" w:ascii="Times New Roman" w:hAnsi="Times New Roman"/>
          <w:bCs/>
          <w:iCs/>
          <w:sz w:val="24"/>
          <w:szCs w:val="24"/>
        </w:rPr>
        <w:t>На технічних паспортах обов’язково мають бути зазначені: найменування об’єкта нерухомого майна, його адреса місця розташування, інші ідентифікуючі ознаки (поверх, номер, літера тощо).</w:t>
      </w:r>
    </w:p>
    <w:p>
      <w:pPr>
        <w:pStyle w:val="Rvps2"/>
        <w:shd w:val="clear" w:color="auto" w:fill="FFFFFF"/>
        <w:spacing w:beforeAutospacing="0" w:before="0" w:afterAutospacing="0" w:after="0"/>
        <w:ind w:firstLine="709"/>
        <w:jc w:val="both"/>
        <w:rPr>
          <w:color w:val="333333"/>
        </w:rPr>
      </w:pPr>
      <w:r>
        <w:rPr>
          <w:color w:val="333333"/>
        </w:rPr>
        <w:t>У технічному паспорті містяться такі відомості:</w:t>
      </w:r>
    </w:p>
    <w:p>
      <w:pPr>
        <w:pStyle w:val="Rvps2"/>
        <w:numPr>
          <w:ilvl w:val="0"/>
          <w:numId w:val="2"/>
        </w:numPr>
        <w:shd w:val="clear" w:color="auto" w:fill="FFFFFF"/>
        <w:spacing w:beforeAutospacing="0" w:before="0" w:afterAutospacing="0" w:after="0"/>
        <w:ind w:left="0" w:firstLine="709"/>
        <w:jc w:val="both"/>
        <w:rPr>
          <w:color w:val="333333"/>
        </w:rPr>
      </w:pPr>
      <w:bookmarkStart w:id="8" w:name="n145"/>
      <w:bookmarkEnd w:id="8"/>
      <w:r>
        <w:rPr>
          <w:color w:val="333333"/>
        </w:rPr>
        <w:t>інформація про замовника та виконавця;</w:t>
      </w:r>
    </w:p>
    <w:p>
      <w:pPr>
        <w:pStyle w:val="Rvps2"/>
        <w:numPr>
          <w:ilvl w:val="0"/>
          <w:numId w:val="2"/>
        </w:numPr>
        <w:shd w:val="clear" w:color="auto" w:fill="FFFFFF"/>
        <w:spacing w:beforeAutospacing="0" w:before="0" w:afterAutospacing="0" w:after="0"/>
        <w:ind w:left="0" w:firstLine="709"/>
        <w:jc w:val="both"/>
        <w:rPr>
          <w:color w:val="333333"/>
        </w:rPr>
      </w:pPr>
      <w:bookmarkStart w:id="9" w:name="n146"/>
      <w:bookmarkEnd w:id="9"/>
      <w:r>
        <w:rPr>
          <w:color w:val="333333"/>
        </w:rPr>
        <w:t>реєстраційний номер у Реєстрі будівельної діяльності;</w:t>
      </w:r>
    </w:p>
    <w:p>
      <w:pPr>
        <w:pStyle w:val="Rvps2"/>
        <w:numPr>
          <w:ilvl w:val="0"/>
          <w:numId w:val="2"/>
        </w:numPr>
        <w:shd w:val="clear" w:color="auto" w:fill="FFFFFF"/>
        <w:spacing w:beforeAutospacing="0" w:before="0" w:afterAutospacing="0" w:after="0"/>
        <w:ind w:left="0" w:firstLine="709"/>
        <w:jc w:val="both"/>
        <w:rPr>
          <w:color w:val="333333"/>
        </w:rPr>
      </w:pPr>
      <w:bookmarkStart w:id="10" w:name="n147"/>
      <w:bookmarkEnd w:id="10"/>
      <w:r>
        <w:rPr>
          <w:color w:val="333333"/>
        </w:rPr>
        <w:t>ідентифікатор об’єкта;</w:t>
      </w:r>
    </w:p>
    <w:p>
      <w:pPr>
        <w:pStyle w:val="Rvps2"/>
        <w:numPr>
          <w:ilvl w:val="0"/>
          <w:numId w:val="2"/>
        </w:numPr>
        <w:shd w:val="clear" w:color="auto" w:fill="FFFFFF"/>
        <w:spacing w:beforeAutospacing="0" w:before="0" w:afterAutospacing="0" w:after="0"/>
        <w:ind w:left="0" w:firstLine="709"/>
        <w:jc w:val="both"/>
        <w:rPr>
          <w:color w:val="333333"/>
        </w:rPr>
      </w:pPr>
      <w:bookmarkStart w:id="11" w:name="n148"/>
      <w:bookmarkEnd w:id="11"/>
      <w:r>
        <w:rPr>
          <w:color w:val="333333"/>
        </w:rPr>
        <w:t>адреса об’єкта;</w:t>
      </w:r>
    </w:p>
    <w:p>
      <w:pPr>
        <w:pStyle w:val="Rvps2"/>
        <w:numPr>
          <w:ilvl w:val="0"/>
          <w:numId w:val="2"/>
        </w:numPr>
        <w:shd w:val="clear" w:color="auto" w:fill="FFFFFF"/>
        <w:spacing w:beforeAutospacing="0" w:before="0" w:afterAutospacing="0" w:after="0"/>
        <w:ind w:left="0" w:firstLine="709"/>
        <w:jc w:val="both"/>
        <w:rPr>
          <w:color w:val="333333"/>
        </w:rPr>
      </w:pPr>
      <w:bookmarkStart w:id="12" w:name="n149"/>
      <w:bookmarkEnd w:id="12"/>
      <w:r>
        <w:rPr>
          <w:color w:val="333333"/>
        </w:rPr>
        <w:t>відомості щодо основних конструктивних елементів, узагальнена інформація про технічний стан, наявність інженерних систем, рік будівництва;</w:t>
      </w:r>
    </w:p>
    <w:p>
      <w:pPr>
        <w:pStyle w:val="Rvps2"/>
        <w:numPr>
          <w:ilvl w:val="0"/>
          <w:numId w:val="2"/>
        </w:numPr>
        <w:shd w:val="clear" w:color="auto" w:fill="FFFFFF"/>
        <w:spacing w:beforeAutospacing="0" w:before="0" w:afterAutospacing="0" w:after="0"/>
        <w:ind w:left="0" w:firstLine="709"/>
        <w:jc w:val="both"/>
        <w:rPr>
          <w:color w:val="333333"/>
        </w:rPr>
      </w:pPr>
      <w:bookmarkStart w:id="13" w:name="n150"/>
      <w:bookmarkEnd w:id="13"/>
      <w:r>
        <w:rPr>
          <w:color w:val="333333"/>
        </w:rPr>
        <w:t>графічні матеріали (схематичний план, плани поверхів);</w:t>
      </w:r>
    </w:p>
    <w:p>
      <w:pPr>
        <w:pStyle w:val="Rvps2"/>
        <w:numPr>
          <w:ilvl w:val="0"/>
          <w:numId w:val="2"/>
        </w:numPr>
        <w:shd w:val="clear" w:color="auto" w:fill="FFFFFF"/>
        <w:spacing w:beforeAutospacing="0" w:before="0" w:afterAutospacing="0" w:after="0"/>
        <w:ind w:left="0" w:firstLine="709"/>
        <w:jc w:val="both"/>
        <w:rPr>
          <w:color w:val="333333"/>
        </w:rPr>
      </w:pPr>
      <w:bookmarkStart w:id="14" w:name="n151"/>
      <w:bookmarkEnd w:id="14"/>
      <w:r>
        <w:rPr>
          <w:color w:val="333333"/>
        </w:rPr>
        <w:t>експлікація до графічних матеріалів.</w:t>
      </w:r>
    </w:p>
    <w:p>
      <w:pPr>
        <w:pStyle w:val="ListParagraph"/>
        <w:widowControl w:val="false"/>
        <w:spacing w:lineRule="auto" w:line="240" w:before="0" w:after="0"/>
        <w:ind w:left="0" w:firstLine="709"/>
        <w:contextualSpacing/>
        <w:jc w:val="both"/>
        <w:rPr>
          <w:rFonts w:ascii="Times New Roman" w:hAnsi="Times New Roman" w:eastAsia="Times New Roman CYR"/>
          <w:sz w:val="24"/>
          <w:szCs w:val="24"/>
        </w:rPr>
      </w:pPr>
      <w:r>
        <w:rPr>
          <w:rFonts w:ascii="Times New Roman" w:hAnsi="Times New Roman"/>
          <w:sz w:val="24"/>
          <w:szCs w:val="24"/>
        </w:rPr>
        <w:t>Вартість послуг повинна включати витрати на транспортування, страхування та усі інші витрати, пов’язані з виконанням послуг,</w:t>
      </w:r>
      <w:r>
        <w:rPr>
          <w:rFonts w:eastAsia="Times New Roman CYR" w:ascii="Times New Roman" w:hAnsi="Times New Roman"/>
          <w:sz w:val="24"/>
          <w:szCs w:val="24"/>
        </w:rPr>
        <w:t xml:space="preserve"> податки і збори, що сплачуються або мають бути сплачені. Не врахована учасником вартість окремих супутніх послуг не сплачується замовником окремо, а витрати на їх виконання вважаються врахованими у загальній ціні його пропозиції, за результатами проведеного електронного аукціону.</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 xml:space="preserve">Надані Учасником послуги приймаються Замовником у порядку виконання з виготовленими документами в результаті надання послуг та оформлюються актами </w:t>
      </w:r>
      <w:r>
        <w:rPr>
          <w:rFonts w:ascii="Times New Roman" w:hAnsi="Times New Roman"/>
          <w:sz w:val="24"/>
          <w:szCs w:val="24"/>
          <w:lang w:eastAsia="ru-RU"/>
        </w:rPr>
        <w:t>приймання наданих послуг</w:t>
      </w:r>
      <w:r>
        <w:rPr>
          <w:rFonts w:ascii="Times New Roman" w:hAnsi="Times New Roman"/>
          <w:sz w:val="24"/>
          <w:szCs w:val="24"/>
        </w:rPr>
        <w:t>. Учасником за результатами надання послуг надаються такі документи:</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технічні паспорти, в паперовому (один примірник) та електронному вигляді;</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витяги з реєстру будівельної діяльності щодо інформації про технічні інвентаризації Єдиної державної електронної системи у сфері будівництва.</w:t>
      </w:r>
    </w:p>
    <w:p>
      <w:pPr>
        <w:pStyle w:val="ListParagraph"/>
        <w:widowControl w:val="false"/>
        <w:spacing w:lineRule="auto" w:line="240" w:before="0"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Вихідні дані, які будуть надаватись Учаснику-переможцю при виконанні Договору:  </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 xml:space="preserve">завірені копії установчих документів Замовника; </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правовстановлюючі та реєстраційні документи на будинки</w:t>
      </w:r>
      <w:r>
        <w:rPr>
          <w:rFonts w:ascii="Times New Roman" w:hAnsi="Times New Roman"/>
          <w:sz w:val="24"/>
          <w:szCs w:val="24"/>
          <w:lang w:val="ru-RU"/>
        </w:rPr>
        <w:t xml:space="preserve"> (об'єкти інвентаризиції)</w:t>
      </w:r>
      <w:r>
        <w:rPr>
          <w:rFonts w:ascii="Times New Roman" w:hAnsi="Times New Roman"/>
          <w:sz w:val="24"/>
          <w:szCs w:val="24"/>
        </w:rPr>
        <w:t xml:space="preserve"> (за наявності), або довідки про їх балансову приналежність.</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Замовник забезпечує:</w:t>
      </w:r>
    </w:p>
    <w:p>
      <w:pPr>
        <w:pStyle w:val="ListParagraph"/>
        <w:widowControl w:val="false"/>
        <w:spacing w:lineRule="auto" w:line="240" w:before="0" w:after="0"/>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доступ на об’єкт нерухомого майна для виконання робіт із технічної інвентаризації та забезпечення безпечних умов праці;</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lang w:eastAsia="ru-RU"/>
        </w:rPr>
        <w:t>супроводження на об’єкті нерухомого майна або надання представника для здійснення супроводження.</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В разі незабезпечення замовником доступу виконавця до всіх приміщень об’єкта нерухомого майна або перешкоджання проведенню робіт з технічної інвентаризації об’єкта нерухомого майна ТІ припиняється до усунення всіх обставин які стали підставою зупинення проведення технічної інвентаризації</w:t>
      </w:r>
    </w:p>
    <w:p>
      <w:pPr>
        <w:pStyle w:val="ListParagraph"/>
        <w:widowControl w:val="false"/>
        <w:spacing w:lineRule="auto" w:line="240" w:before="0" w:after="0"/>
        <w:ind w:left="0" w:firstLine="709"/>
        <w:contextualSpacing/>
        <w:jc w:val="both"/>
        <w:rPr>
          <w:rFonts w:ascii="Times New Roman" w:hAnsi="Times New Roman"/>
          <w:color w:val="000000"/>
          <w:sz w:val="24"/>
          <w:szCs w:val="24"/>
        </w:rPr>
      </w:pPr>
      <w:r>
        <w:rPr>
          <w:rFonts w:ascii="Times New Roman" w:hAnsi="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tbl>
      <w:tblPr>
        <w:tblpPr w:bottomFromText="0" w:horzAnchor="margin" w:leftFromText="180" w:rightFromText="180" w:tblpX="0" w:tblpY="75" w:topFromText="0" w:vertAnchor="text"/>
        <w:tblW w:w="1002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c>
          <w:tcPr>
            <w:tcW w:w="3340" w:type="dxa"/>
            <w:tcBorders/>
          </w:tcPr>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widowControl w:val="false"/>
              <w:shd w:val="clear" w:color="auto" w:fill="FFFFFF"/>
              <w:spacing w:before="0" w:after="0"/>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w:t>
            </w:r>
          </w:p>
        </w:tc>
        <w:tc>
          <w:tcPr>
            <w:tcW w:w="3340" w:type="dxa"/>
            <w:tcBorders/>
          </w:tcPr>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w:t>
            </w:r>
          </w:p>
        </w:tc>
        <w:tc>
          <w:tcPr>
            <w:tcW w:w="3340" w:type="dxa"/>
            <w:tcBorders/>
          </w:tcPr>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w:t>
            </w:r>
          </w:p>
        </w:tc>
      </w:tr>
      <w:tr>
        <w:trPr>
          <w:trHeight w:val="68" w:hRule="atLeast"/>
        </w:trPr>
        <w:tc>
          <w:tcPr>
            <w:tcW w:w="3340" w:type="dxa"/>
            <w:tcBorders/>
          </w:tcPr>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i/>
                <w:color w:val="000000"/>
                <w:sz w:val="24"/>
                <w:szCs w:val="24"/>
                <w:lang w:eastAsia="ru-RU"/>
              </w:rPr>
              <w:t>посада уповноваженої особи Учасника</w:t>
            </w:r>
          </w:p>
        </w:tc>
        <w:tc>
          <w:tcPr>
            <w:tcW w:w="3340" w:type="dxa"/>
            <w:tcBorders/>
          </w:tcPr>
          <w:p>
            <w:pPr>
              <w:pStyle w:val="Normal"/>
              <w:widowControl w:val="false"/>
              <w:shd w:val="clear" w:color="auto" w:fill="FFFFFF"/>
              <w:spacing w:before="0" w:after="0"/>
              <w:jc w:val="center"/>
              <w:rPr>
                <w:rFonts w:ascii="Times New Roman" w:hAnsi="Times New Roman"/>
                <w:i/>
                <w:i/>
                <w:color w:val="000000"/>
                <w:sz w:val="24"/>
                <w:szCs w:val="24"/>
                <w:lang w:eastAsia="ru-RU"/>
              </w:rPr>
            </w:pPr>
            <w:r>
              <w:rPr>
                <w:rFonts w:ascii="Times New Roman" w:hAnsi="Times New Roman"/>
                <w:i/>
                <w:color w:val="000000"/>
                <w:sz w:val="24"/>
                <w:szCs w:val="24"/>
                <w:lang w:eastAsia="ru-RU"/>
              </w:rPr>
              <w:t xml:space="preserve">підпис </w:t>
            </w:r>
          </w:p>
          <w:p>
            <w:pPr>
              <w:pStyle w:val="Normal"/>
              <w:widowControl w:val="false"/>
              <w:shd w:val="clear" w:color="auto" w:fill="FFFFFF"/>
              <w:spacing w:before="0" w:after="0"/>
              <w:jc w:val="center"/>
              <w:rPr>
                <w:rFonts w:ascii="Times New Roman" w:hAnsi="Times New Roman"/>
                <w:i/>
                <w:i/>
                <w:color w:val="000000"/>
                <w:sz w:val="24"/>
                <w:szCs w:val="24"/>
                <w:lang w:eastAsia="ru-RU"/>
              </w:rPr>
            </w:pPr>
            <w:r>
              <w:rPr>
                <w:rFonts w:ascii="Times New Roman" w:hAnsi="Times New Roman"/>
                <w:i/>
                <w:color w:val="000000"/>
                <w:sz w:val="24"/>
                <w:szCs w:val="24"/>
                <w:lang w:eastAsia="ru-RU"/>
              </w:rPr>
              <w:t>та печатка (за наявності)</w:t>
            </w:r>
          </w:p>
        </w:tc>
        <w:tc>
          <w:tcPr>
            <w:tcW w:w="3340" w:type="dxa"/>
            <w:tcBorders/>
          </w:tcPr>
          <w:p>
            <w:pPr>
              <w:pStyle w:val="Normal"/>
              <w:widowControl w:val="false"/>
              <w:shd w:val="clear" w:color="auto" w:fill="FFFFFF"/>
              <w:spacing w:before="0" w:after="0"/>
              <w:jc w:val="center"/>
              <w:rPr>
                <w:rFonts w:ascii="Times New Roman" w:hAnsi="Times New Roman"/>
                <w:color w:val="000000"/>
                <w:sz w:val="24"/>
                <w:szCs w:val="24"/>
                <w:lang w:eastAsia="ru-RU"/>
              </w:rPr>
            </w:pPr>
            <w:r>
              <w:rPr>
                <w:rFonts w:ascii="Times New Roman" w:hAnsi="Times New Roman"/>
                <w:i/>
                <w:color w:val="000000"/>
                <w:sz w:val="24"/>
                <w:szCs w:val="24"/>
                <w:lang w:eastAsia="ru-RU"/>
              </w:rPr>
              <w:t>прізвище, ініціали</w:t>
            </w:r>
          </w:p>
        </w:tc>
      </w:tr>
    </w:tbl>
    <w:p>
      <w:pPr>
        <w:pStyle w:val="Normal"/>
        <w:widowControl w:val="false"/>
        <w:spacing w:lineRule="auto" w:line="240" w:before="0" w:after="0"/>
        <w:contextualSpacing/>
        <w:jc w:val="both"/>
        <w:rPr>
          <w:rFonts w:ascii="Times New Roman" w:hAnsi="Times New Roman"/>
          <w:color w:val="000000"/>
          <w:sz w:val="2"/>
          <w:szCs w:val="2"/>
        </w:rPr>
      </w:pPr>
      <w:r>
        <w:rPr/>
      </w:r>
    </w:p>
    <w:sectPr>
      <w:type w:val="nextPage"/>
      <w:pgSz w:w="12240" w:h="15840"/>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577" w:hanging="0"/>
      </w:pPr>
      <w:rPr>
        <w:sz w:val="24"/>
        <w:spacing w:val="-1"/>
        <w:i w:val="false"/>
        <w:b/>
        <w:szCs w:val="24"/>
        <w:iCs w:val="false"/>
        <w:bCs/>
        <w:rFonts w:cs="Times New Roman"/>
        <w:lang w:val="uk-UA" w:eastAsia="uk-UA" w:bidi="ar-SA"/>
      </w:rPr>
    </w:lvl>
    <w:lvl w:ilvl="1">
      <w:start w:val="1"/>
      <w:numFmt w:val="none"/>
      <w:suff w:val="nothing"/>
      <w:lvlText w:val=""/>
      <w:lvlJc w:val="left"/>
      <w:pPr>
        <w:tabs>
          <w:tab w:val="num" w:pos="0"/>
        </w:tabs>
        <w:ind w:left="4577" w:hanging="0"/>
      </w:pPr>
    </w:lvl>
    <w:lvl w:ilvl="2">
      <w:start w:val="1"/>
      <w:numFmt w:val="none"/>
      <w:suff w:val="nothing"/>
      <w:lvlText w:val=""/>
      <w:lvlJc w:val="left"/>
      <w:pPr>
        <w:tabs>
          <w:tab w:val="num" w:pos="0"/>
        </w:tabs>
        <w:ind w:left="5297" w:hanging="720"/>
      </w:pPr>
      <w:rPr>
        <w:sz w:val="24"/>
        <w:spacing w:val="-1"/>
        <w:i w:val="false"/>
        <w:b w:val="false"/>
        <w:szCs w:val="24"/>
        <w:iCs w:val="false"/>
        <w:bCs w:val="false"/>
        <w:rFonts w:cs="Times New Roman"/>
        <w:lang w:val="uk-UA" w:bidi="ar-SA"/>
      </w:rPr>
    </w:lvl>
    <w:lvl w:ilvl="3">
      <w:start w:val="1"/>
      <w:numFmt w:val="none"/>
      <w:suff w:val="nothing"/>
      <w:lvlText w:val=""/>
      <w:lvlJc w:val="left"/>
      <w:pPr>
        <w:tabs>
          <w:tab w:val="num" w:pos="0"/>
        </w:tabs>
        <w:ind w:left="5441" w:hanging="864"/>
      </w:pPr>
    </w:lvl>
    <w:lvl w:ilvl="4">
      <w:start w:val="1"/>
      <w:numFmt w:val="none"/>
      <w:suff w:val="nothing"/>
      <w:lvlText w:val=""/>
      <w:lvlJc w:val="left"/>
      <w:pPr>
        <w:tabs>
          <w:tab w:val="num" w:pos="0"/>
        </w:tabs>
        <w:ind w:left="4577" w:hanging="0"/>
      </w:pPr>
    </w:lvl>
    <w:lvl w:ilvl="5">
      <w:start w:val="1"/>
      <w:numFmt w:val="none"/>
      <w:suff w:val="nothing"/>
      <w:lvlText w:val=""/>
      <w:lvlJc w:val="left"/>
      <w:pPr>
        <w:tabs>
          <w:tab w:val="num" w:pos="0"/>
        </w:tabs>
        <w:ind w:left="4577" w:hanging="0"/>
      </w:pPr>
    </w:lvl>
    <w:lvl w:ilvl="6">
      <w:start w:val="1"/>
      <w:numFmt w:val="none"/>
      <w:suff w:val="nothing"/>
      <w:lvlText w:val=""/>
      <w:lvlJc w:val="left"/>
      <w:pPr>
        <w:tabs>
          <w:tab w:val="num" w:pos="0"/>
        </w:tabs>
        <w:ind w:left="4577" w:hanging="0"/>
      </w:pPr>
    </w:lvl>
    <w:lvl w:ilvl="7">
      <w:start w:val="1"/>
      <w:numFmt w:val="none"/>
      <w:suff w:val="nothing"/>
      <w:lvlText w:val=""/>
      <w:lvlJc w:val="left"/>
      <w:pPr>
        <w:tabs>
          <w:tab w:val="num" w:pos="0"/>
        </w:tabs>
        <w:ind w:left="4577" w:hanging="0"/>
      </w:pPr>
    </w:lvl>
    <w:lvl w:ilvl="8">
      <w:start w:val="1"/>
      <w:numFmt w:val="none"/>
      <w:suff w:val="nothing"/>
      <w:lvlText w:val=""/>
      <w:lvlJc w:val="left"/>
      <w:pPr>
        <w:tabs>
          <w:tab w:val="num" w:pos="0"/>
        </w:tabs>
        <w:ind w:left="4577" w:hanging="0"/>
      </w:pPr>
    </w:lvl>
  </w:abstractNum>
  <w:abstractNum w:abstractNumId="2">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768"/>
    <w:pPr>
      <w:widowControl/>
      <w:bidi w:val="0"/>
      <w:spacing w:lineRule="auto" w:line="259" w:before="0" w:after="16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1">
    <w:name w:val="Heading 1"/>
    <w:basedOn w:val="Normal"/>
    <w:next w:val="Normal"/>
    <w:link w:val="10"/>
    <w:uiPriority w:val="9"/>
    <w:qFormat/>
    <w:rsid w:val="00553c5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3">
    <w:name w:val="Heading 3"/>
    <w:basedOn w:val="Normal"/>
    <w:next w:val="Normal"/>
    <w:link w:val="30"/>
    <w:uiPriority w:val="99"/>
    <w:qFormat/>
    <w:rsid w:val="005a3b92"/>
    <w:pPr>
      <w:keepNext w:val="true"/>
      <w:keepLines/>
      <w:spacing w:lineRule="auto" w:line="240" w:before="40" w:after="0"/>
      <w:outlineLvl w:val="2"/>
    </w:pPr>
    <w:rPr>
      <w:rFonts w:ascii="Cambria" w:hAnsi="Cambria"/>
      <w:color w:val="243F60"/>
      <w:sz w:val="24"/>
      <w:szCs w:val="24"/>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rsid w:val="005a3b92"/>
    <w:rPr>
      <w:rFonts w:ascii="Cambria" w:hAnsi="Cambria" w:eastAsia="Times New Roman" w:cs="Times New Roman"/>
      <w:color w:val="243F60"/>
      <w:sz w:val="24"/>
      <w:szCs w:val="24"/>
      <w:lang w:val="uk-UA" w:eastAsia="ru-RU"/>
    </w:rPr>
  </w:style>
  <w:style w:type="character" w:styleId="Style12" w:customStyle="1">
    <w:name w:val="Без интервала Знак"/>
    <w:link w:val="a4"/>
    <w:uiPriority w:val="1"/>
    <w:qFormat/>
    <w:locked/>
    <w:rsid w:val="005a3b92"/>
    <w:rPr>
      <w:lang w:val="uk-UA"/>
    </w:rPr>
  </w:style>
  <w:style w:type="character" w:styleId="Style13" w:customStyle="1">
    <w:name w:val="Абзац списка Знак"/>
    <w:link w:val="a6"/>
    <w:uiPriority w:val="34"/>
    <w:qFormat/>
    <w:rsid w:val="008d048a"/>
    <w:rPr>
      <w:rFonts w:ascii="Calibri" w:hAnsi="Calibri" w:eastAsia="Times New Roman" w:cs="Times New Roman"/>
      <w:lang w:val="uk-UA"/>
    </w:rPr>
  </w:style>
  <w:style w:type="character" w:styleId="Rvts11" w:customStyle="1">
    <w:name w:val="rvts11"/>
    <w:basedOn w:val="DefaultParagraphFont"/>
    <w:qFormat/>
    <w:rsid w:val="006c5ee1"/>
    <w:rPr/>
  </w:style>
  <w:style w:type="character" w:styleId="Style14">
    <w:name w:val="Интернет-ссылка"/>
    <w:basedOn w:val="DefaultParagraphFont"/>
    <w:uiPriority w:val="99"/>
    <w:semiHidden/>
    <w:unhideWhenUsed/>
    <w:rsid w:val="009a276d"/>
    <w:rPr>
      <w:color w:val="0000FF"/>
      <w:u w:val="single"/>
    </w:rPr>
  </w:style>
  <w:style w:type="character" w:styleId="11" w:customStyle="1">
    <w:name w:val="Заголовок 1 Знак"/>
    <w:basedOn w:val="DefaultParagraphFont"/>
    <w:link w:val="1"/>
    <w:uiPriority w:val="9"/>
    <w:qFormat/>
    <w:rsid w:val="00553c5e"/>
    <w:rPr>
      <w:rFonts w:ascii="Calibri Light" w:hAnsi="Calibri Light" w:eastAsia="" w:cs="" w:asciiTheme="majorHAnsi" w:cstheme="majorBidi" w:eastAsiaTheme="majorEastAsia" w:hAnsiTheme="majorHAnsi"/>
      <w:color w:val="2E74B5" w:themeColor="accent1" w:themeShade="bf"/>
      <w:sz w:val="32"/>
      <w:szCs w:val="32"/>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12" w:customStyle="1">
    <w:name w:val="Стиль1"/>
    <w:uiPriority w:val="99"/>
    <w:qFormat/>
    <w:rsid w:val="005a3b92"/>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NoSpacing">
    <w:name w:val="No Spacing"/>
    <w:link w:val="a5"/>
    <w:uiPriority w:val="1"/>
    <w:qFormat/>
    <w:rsid w:val="005a3b9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ListParagraph">
    <w:name w:val="List Paragraph"/>
    <w:basedOn w:val="Normal"/>
    <w:link w:val="a7"/>
    <w:uiPriority w:val="34"/>
    <w:qFormat/>
    <w:rsid w:val="00a47026"/>
    <w:pPr>
      <w:spacing w:before="0" w:after="160"/>
      <w:ind w:left="720" w:hanging="0"/>
      <w:contextualSpacing/>
    </w:pPr>
    <w:rPr/>
  </w:style>
  <w:style w:type="paragraph" w:styleId="Rvps2" w:customStyle="1">
    <w:name w:val="rvps2"/>
    <w:basedOn w:val="Normal"/>
    <w:qFormat/>
    <w:rsid w:val="006c5ee1"/>
    <w:pPr>
      <w:spacing w:lineRule="auto" w:line="240" w:beforeAutospacing="1" w:afterAutospacing="1"/>
    </w:pPr>
    <w:rPr>
      <w:rFonts w:ascii="Times New Roman" w:hAnsi="Times New Roman"/>
      <w:sz w:val="24"/>
      <w:szCs w:val="24"/>
      <w:lang w:eastAsia="uk-UA"/>
    </w:rPr>
  </w:style>
  <w:style w:type="paragraph" w:styleId="Standard" w:customStyle="1">
    <w:name w:val="Standard"/>
    <w:qFormat/>
    <w:rsid w:val="00a37eb2"/>
    <w:pPr>
      <w:widowControl/>
      <w:suppressAutoHyphens w:val="true"/>
      <w:bidi w:val="0"/>
      <w:spacing w:lineRule="auto" w:line="240" w:before="0" w:after="0"/>
      <w:jc w:val="left"/>
      <w:textAlignment w:val="baseline"/>
    </w:pPr>
    <w:rPr>
      <w:rFonts w:ascii="Liberation Serif" w:hAnsi="Liberation Serif" w:eastAsia="Noto Sans CJK SC Regular" w:cs="Lohit Devanagari"/>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2">
    <w:name w:val="Сетка таблицы2"/>
    <w:basedOn w:val="a1"/>
    <w:uiPriority w:val="39"/>
    <w:rsid w:val="00815768"/>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3">
    <w:name w:val="Table Grid"/>
    <w:basedOn w:val="a1"/>
    <w:uiPriority w:val="39"/>
    <w:rsid w:val="008157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Grid1"/>
    <w:rsid w:val="006b0f84"/>
    <w:pPr>
      <w:spacing w:after="0" w:line="240" w:lineRule="auto"/>
    </w:pPr>
    <w:rPr>
      <w:lang w:val="uk-UA" w:eastAsia="uk-UA"/>
    </w:rPr>
    <w:tblPr>
      <w:tblCellMar>
        <w:top w:w="0" w:type="dxa"/>
        <w:left w:w="0" w:type="dxa"/>
        <w:bottom w:w="0" w:type="dxa"/>
        <w:right w:w="0" w:type="dxa"/>
      </w:tblCellMar>
    </w:tblPr>
  </w:style>
  <w:style w:type="table" w:customStyle="1" w:styleId="TableGrid">
    <w:name w:val="TableGrid"/>
    <w:rsid w:val="009d1b04"/>
    <w:pPr>
      <w:spacing w:after="0" w:line="240" w:lineRule="auto"/>
    </w:pPr>
    <w:rPr>
      <w:rFonts w:eastAsiaTheme="minorEastAsia"/>
      <w:lang w:val="ru-RU"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LibreOffice/7.0.3.1$Windows_X86_64 LibreOffice_project/d7547858d014d4cf69878db179d326fc3483e082</Application>
  <Pages>4</Pages>
  <Words>1432</Words>
  <Characters>9510</Characters>
  <CharactersWithSpaces>10806</CharactersWithSpaces>
  <Paragraphs>131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2024-03-29T12:23:00Z</dcterms:created>
  <dc:creator>Маш</dc:creator>
  <dc:description/>
  <dc:language>en-US</dc:language>
  <cp:lastModifiedBy/>
  <dcterms:modified xsi:type="dcterms:W3CDTF">2024-03-29T15:33:41Z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