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D6" w:rsidRDefault="00EB3FD6" w:rsidP="00EB3FD6">
      <w:pPr>
        <w:spacing w:line="240" w:lineRule="auto"/>
        <w:ind w:firstLine="284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Додаток № 5</w:t>
      </w:r>
    </w:p>
    <w:p w:rsidR="00EB3FD6" w:rsidRPr="00B267A7" w:rsidRDefault="00EB3FD6" w:rsidP="00EB3FD6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до Тендерної документації </w:t>
      </w:r>
    </w:p>
    <w:p w:rsidR="00EB3FD6" w:rsidRPr="00B267A7" w:rsidRDefault="00EB3FD6" w:rsidP="00EB3FD6">
      <w:pPr>
        <w:spacing w:line="240" w:lineRule="auto"/>
        <w:ind w:firstLine="284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B3FD6" w:rsidRPr="00B267A7" w:rsidRDefault="00EB3FD6" w:rsidP="00EB3FD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ПРОЕКТ ДОГОВОРУ</w:t>
      </w:r>
    </w:p>
    <w:p w:rsidR="00EB3FD6" w:rsidRPr="00B267A7" w:rsidRDefault="00EB3FD6" w:rsidP="00EB3FD6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EB3FD6" w:rsidRPr="00B267A7" w:rsidRDefault="00EB3FD6" w:rsidP="00EB3F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B3FD6" w:rsidRPr="00B267A7" w:rsidRDefault="00EB3FD6" w:rsidP="00EB3FD6">
      <w:pPr>
        <w:spacing w:after="0" w:line="240" w:lineRule="auto"/>
        <w:ind w:firstLine="708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bookmarkStart w:id="0" w:name="19"/>
      <w:bookmarkEnd w:id="0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*Додано замовником в окремому файлі «Проект договору про закупівлю</w:t>
      </w:r>
      <w:r w:rsidRPr="00B267A7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»</w:t>
      </w:r>
    </w:p>
    <w:p w:rsidR="00EB3FD6" w:rsidRPr="00B267A7" w:rsidRDefault="00EB3FD6" w:rsidP="00EB3FD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EB3FD6" w:rsidRPr="00B267A7" w:rsidRDefault="00EB3FD6" w:rsidP="00EB3FD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B3FD6" w:rsidRPr="00B267A7" w:rsidRDefault="00EB3FD6" w:rsidP="00EB3FD6">
      <w:pPr>
        <w:spacing w:after="0" w:line="240" w:lineRule="auto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смт.Підкамінь</w:t>
      </w: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</w:t>
      </w: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«___» ____________ 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2022  року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EB3FD6" w:rsidRPr="00B267A7" w:rsidRDefault="00EB3FD6" w:rsidP="00EB3F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3FD6" w:rsidRPr="00B267A7" w:rsidRDefault="00EB3FD6" w:rsidP="00EB3FD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__________________________________________________________________, </w:t>
      </w:r>
      <w:r w:rsidRPr="00B267A7">
        <w:rPr>
          <w:rFonts w:ascii="Times New Roman" w:hAnsi="Times New Roman"/>
          <w:bCs/>
          <w:color w:val="000000" w:themeColor="text1"/>
          <w:sz w:val="24"/>
          <w:szCs w:val="24"/>
        </w:rPr>
        <w:t>в особі __________________________________________________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(надалі </w:t>
      </w: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“Постачальник”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), що діє на підставі_________________________________________________________з однієї сторони та 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Відділ освіти та гуманітарної політики Підкамінської селищної ради</w:t>
      </w: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B267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особі начальника Ковальчук В.П.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(надалі </w:t>
      </w: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“Замовник”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), що діє на підставі Положення   з іншої сторони, які надалі за текстом цього Договору разом називатимуться </w:t>
      </w:r>
      <w:r w:rsidRPr="00B267A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“Сторонами”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,  а окремо - </w:t>
      </w:r>
      <w:r w:rsidRPr="00B267A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“Сторона”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>, уклали цей Договір про наступне:</w:t>
      </w:r>
    </w:p>
    <w:p w:rsidR="00EB3FD6" w:rsidRPr="00B267A7" w:rsidRDefault="00EB3FD6" w:rsidP="00EB3F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I. ПРЕДМЕТ ДОГОВОРУ</w:t>
      </w:r>
    </w:p>
    <w:p w:rsidR="00EB3FD6" w:rsidRPr="00B267A7" w:rsidRDefault="00EB3FD6" w:rsidP="00EB3F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1.1. Постачальник зобов'язується поставити та передавати у власність Замовника товар </w:t>
      </w:r>
      <w:r w:rsidRPr="002022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Напівбрикети торф'яні </w:t>
      </w:r>
      <w:proofErr w:type="gramStart"/>
      <w:r w:rsidRPr="002022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 ДК</w:t>
      </w:r>
      <w:proofErr w:type="gramEnd"/>
      <w:r w:rsidRPr="002022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021:2015 - 09110000-3: Тверде паливо)</w:t>
      </w:r>
      <w:r w:rsidRPr="00B267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zh-CN"/>
        </w:rPr>
        <w:t xml:space="preserve">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за переліком згідно із специфікацією, що додається до цього Договору (Додаток № 1),  Замовник зобов'язується прийняти цей товар та оплатити його на умовах, визначених цим Договором. 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>1.2. Найменування (кількість) Товару передбачається у специфікації (Додаток № 1). Постачальник зобов'язаний передати Товар в асортименті, виходячи з умов даного Договору.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Кількість Товару складає:</w:t>
      </w:r>
    </w:p>
    <w:p w:rsidR="00EB3FD6" w:rsidRPr="00B267A7" w:rsidRDefault="00DC528B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Всього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147</w:t>
      </w:r>
      <w:r w:rsidR="00EB3FD6"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т 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1.3. Обсяги закупівлі Товару можуть бути зменшені залежно від реального фінансування видатків.</w:t>
      </w:r>
    </w:p>
    <w:p w:rsidR="00EB3FD6" w:rsidRPr="00B267A7" w:rsidRDefault="00EB3FD6" w:rsidP="00EB3FD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2 .</w:t>
      </w:r>
      <w:proofErr w:type="gramEnd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ЯКІСТЬ ТОВАРУ ТА ГАРАНТІЙНІ ЗОБОВЯЗАННЯ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1.Постачальник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повинен передати (поставити) Замовнику Товар передбачений цим Договором, якість якого відповідає умовам Договору.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2.Якість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Товару, що постачається, повинна відповідати вимогам Пропозиції торгів.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2.3. Підтвердженням якості є наявність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документів:_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>______________________________. Документи, що підтверджують якість Товару передаються разом із Товаром за місцем призначення Товару згідно п.5.2 цього Договору.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2.4. У випадку виявлення поставки неякісного Товару, а також відхилень від якісних характеристик наданих Постачальником у Пропозиції відкритих торгів, які неможливо було виявити під час підписання видаткової накладної, Замовник викликає представника Постачальника на предмет підписання спільного акту за виявленими фактами.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2.5. Якщо протягом 1 – го дня після направленого виклику, Постачальник не надіслав свого уповноваженого представника, Замовник складає власний акт по виявленим фактам невідповідності поставленого Товару вимогам, передбаченим Договором.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6.Претензії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 якості пред'являються протягом 20 діб з дати виявлення відхилень від вимог даного Договору.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7.Постачальник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протягом 12 (дванадцяти) місяців гарантує якість поставленого Товару і протягом 2-х діб зобов’язаний безкоштовно усунути недоліки виявлені протягом гарантійного строку, або замінити його на якісний.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2.9. Умови щодо якості Товару можуть змінюватися у разі її покращення, за умови, що таке покращення не призведе до збільшення суми, визначеної в Договорі.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2.10.У випадку заміни Товару неналежної якості на Товар, що відповідає умовам Договору, гарантійний строк на нього починає обчислюватися з моменту його заміни.</w:t>
      </w:r>
    </w:p>
    <w:p w:rsidR="00EB3FD6" w:rsidRPr="00B267A7" w:rsidRDefault="00EB3FD6" w:rsidP="00EB3FD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3. ЦІНА ДОГОВОРУ</w:t>
      </w:r>
    </w:p>
    <w:p w:rsidR="00EB3FD6" w:rsidRPr="00B267A7" w:rsidRDefault="00EB3FD6" w:rsidP="00EB3FD6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1.Ціна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цього Договору становить _________________________ грн.. __________ в. т. ч. ПДВ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>/без ПДВ.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2.Ціна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на Товар не повинна змінюватися після підписання Договору про закупівлю до повного виконання зобов'язань Сторонами, за виключенням випадків:</w:t>
      </w:r>
    </w:p>
    <w:p w:rsidR="00EB3FD6" w:rsidRPr="00B267A7" w:rsidRDefault="00EB3FD6" w:rsidP="00EB3FD6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3.3.</w:t>
      </w:r>
      <w:r w:rsidRPr="00B267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Загальна сума Договору (у тому числі ціна за одиницю товару) не може змінюватися після його підписання до виконання зобов’язань сторонами в повному обсязі, крім випадків:</w:t>
      </w:r>
    </w:p>
    <w:p w:rsidR="00EB3FD6" w:rsidRPr="00B267A7" w:rsidRDefault="00EB3FD6" w:rsidP="00EB3FD6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переможця  спрощеної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</w:r>
    </w:p>
    <w:p w:rsidR="00EB3FD6" w:rsidRPr="00B267A7" w:rsidRDefault="00EB3FD6" w:rsidP="00EB3FD6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1" w:name="n1039"/>
      <w:bookmarkEnd w:id="1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викладені у ч.5 ст. 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41 Закону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>України «Про публічні закупівлі»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:rsidR="00EB3FD6" w:rsidRPr="00B267A7" w:rsidRDefault="00EB3FD6" w:rsidP="00EB3FD6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EB3FD6" w:rsidRPr="00B267A7" w:rsidRDefault="00EB3FD6" w:rsidP="00EB3FD6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2) збільшення ціни за одиницю товару до 10 відсотків пропорційно збільшенню ціни такого товару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на ринку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EB3FD6" w:rsidRPr="00B267A7" w:rsidRDefault="00EB3FD6" w:rsidP="00EB3FD6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EB3FD6" w:rsidRPr="00B267A7" w:rsidRDefault="00EB3FD6" w:rsidP="00EB3FD6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EB3FD6" w:rsidRPr="00B267A7" w:rsidRDefault="00EB3FD6" w:rsidP="00EB3FD6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на ринку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B3FD6" w:rsidRPr="00B267A7" w:rsidRDefault="00EB3FD6" w:rsidP="00EB3FD6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EB3FD6" w:rsidRPr="00B267A7" w:rsidRDefault="00EB3FD6" w:rsidP="00EB3FD6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lastRenderedPageBreak/>
        <w:t>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EB3FD6" w:rsidRPr="00B267A7" w:rsidRDefault="00EB3FD6" w:rsidP="00EB3FD6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8) зміни умов у зв’язку із застосуванням положень частини шостої цієї статті.</w:t>
      </w:r>
    </w:p>
    <w:p w:rsidR="00EB3FD6" w:rsidRPr="00B267A7" w:rsidRDefault="00EB3FD6" w:rsidP="00EB3FD6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Дія договору про закупівлю може бути продовжена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на строк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EB3FD6" w:rsidRPr="00B267A7" w:rsidRDefault="00EB3FD6" w:rsidP="00EB3FD6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</w:p>
    <w:p w:rsidR="00EB3FD6" w:rsidRPr="00B267A7" w:rsidRDefault="00EB3FD6" w:rsidP="00EB3FD6">
      <w:pPr>
        <w:spacing w:line="24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Зміни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до договору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про закупівлю можуть вноситись у випадках, вказаних вище, та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:rsidR="00EB3FD6" w:rsidRPr="00B267A7" w:rsidRDefault="00EB3FD6" w:rsidP="00EB3FD6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Пропозицію щодо внесення змін </w:t>
      </w:r>
      <w:proofErr w:type="gramStart"/>
      <w:r w:rsidRPr="00B267A7">
        <w:rPr>
          <w:rFonts w:ascii="Times New Roman" w:hAnsi="Times New Roman" w:cs="Times New Roman"/>
          <w:color w:val="000000" w:themeColor="text1"/>
          <w:sz w:val="24"/>
          <w:szCs w:val="24"/>
        </w:rPr>
        <w:t>до договору</w:t>
      </w:r>
      <w:proofErr w:type="gramEnd"/>
      <w:r w:rsidRPr="00B26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 зробити кожна із сторін договору.</w:t>
      </w:r>
    </w:p>
    <w:p w:rsidR="00EB3FD6" w:rsidRPr="00B267A7" w:rsidRDefault="00EB3FD6" w:rsidP="00EB3FD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</w:rPr>
      </w:pPr>
      <w:r w:rsidRPr="00B267A7">
        <w:rPr>
          <w:color w:val="000000" w:themeColor="text1"/>
        </w:rPr>
        <w:t>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Закону, Цивільного та Господарського кодексів України.</w:t>
      </w:r>
    </w:p>
    <w:p w:rsidR="00EB3FD6" w:rsidRPr="00B267A7" w:rsidRDefault="00EB3FD6" w:rsidP="00EB3FD6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Зобов'язання Замовника за даним Договором виникають виключно при наявності відповідного фінансового призначення. Замовник не зобов'язаний купити заявлену кількість товару та не несе відповідальність за зменшення фінансування та/або його відсутність.</w:t>
      </w:r>
    </w:p>
    <w:p w:rsidR="00EB3FD6" w:rsidRPr="00B267A7" w:rsidRDefault="00EB3FD6" w:rsidP="00EB3FD6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3.5. Товар, який запропонований Постачальником у своїй тендерній пропозиції не повинен відрізнятися від товару, який постачається, в тому числі у частині якості, кількості, технічних параметрів, найменування тощо </w:t>
      </w:r>
      <w:proofErr w:type="gramStart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У</w:t>
      </w:r>
      <w:proofErr w:type="gramEnd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разі заміни товару на товар, який є кращим/або гіршими за своїми показниками, Постачальник зобов’язаний письмово повідомити про це Замовника протягом 1- го робочого дня. Замовник вправі відмовитись від такої заміни товару, якщо така зміна приводить до збільшення ціни у Договорі (в тому числі ціни за одиницю товару) та суттєво впливає на зміну інших істотних умов Договору та </w:t>
      </w:r>
      <w:proofErr w:type="gramStart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вимагати  поставки</w:t>
      </w:r>
      <w:proofErr w:type="gramEnd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товару, який зазначений у Договорі. </w:t>
      </w:r>
    </w:p>
    <w:p w:rsidR="00EB3FD6" w:rsidRPr="00B267A7" w:rsidRDefault="00EB3FD6" w:rsidP="00EB3FD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4 .</w:t>
      </w:r>
      <w:proofErr w:type="gramEnd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ПОРЯДОК ЗДІЙСНЕННЯ ОПЛАТИ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4.1. Замовник здійснює оплату по факту поставки Товару Постачальником до місця призначення за адресами, відповідно до п. 5.2. цього Договору, на підставі видаткових накладних, з відтермінуванням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платежу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у зв’язку з можливою відсутністю фінансування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чи помісячним розподілом фінансування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ab/>
        <w:t>Оплата буде здійснюватись лише в межах отриманих коштів, протягом 15-ти банківських днів з дати надходження такого фінансування на рахунок Замовника. За відсутність фінансування Замовник не несе відповідальність, та до нього не будуть застосовуватись відповідальність згідно чинним Законодавством, з чим Постачальник погоджується підписанням даного Договору.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67A7">
        <w:rPr>
          <w:rFonts w:ascii="Times New Roman" w:hAnsi="Times New Roman"/>
          <w:color w:val="000000"/>
          <w:sz w:val="24"/>
          <w:szCs w:val="24"/>
        </w:rPr>
        <w:t xml:space="preserve">На період дії в Україні воєнного стану оплата </w:t>
      </w:r>
      <w:proofErr w:type="gramStart"/>
      <w:r w:rsidRPr="00B267A7">
        <w:rPr>
          <w:rFonts w:ascii="Times New Roman" w:hAnsi="Times New Roman"/>
          <w:color w:val="000000"/>
          <w:sz w:val="24"/>
          <w:szCs w:val="24"/>
        </w:rPr>
        <w:t>здійснюється  у</w:t>
      </w:r>
      <w:proofErr w:type="gramEnd"/>
      <w:r w:rsidRPr="00B267A7">
        <w:rPr>
          <w:rFonts w:ascii="Times New Roman" w:hAnsi="Times New Roman"/>
          <w:color w:val="000000"/>
          <w:sz w:val="24"/>
          <w:szCs w:val="24"/>
        </w:rPr>
        <w:t xml:space="preserve"> порядку та з урахуванням обмежень встановлених законодавством, зокрема постановою Кабінету Міністрів України від 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змінами). У разі відсутності або недостатності коштів на єдиному казначейському рахунку або рахунку Замовника, внаслідок неналежного або недостатнього бюджетного фінансування або встановлення інших </w:t>
      </w:r>
      <w:proofErr w:type="gramStart"/>
      <w:r w:rsidRPr="00B267A7">
        <w:rPr>
          <w:rFonts w:ascii="Times New Roman" w:hAnsi="Times New Roman"/>
          <w:color w:val="000000"/>
          <w:sz w:val="24"/>
          <w:szCs w:val="24"/>
        </w:rPr>
        <w:t>обмежень  строк</w:t>
      </w:r>
      <w:proofErr w:type="gramEnd"/>
      <w:r w:rsidRPr="00B267A7">
        <w:rPr>
          <w:rFonts w:ascii="Times New Roman" w:hAnsi="Times New Roman"/>
          <w:color w:val="000000"/>
          <w:sz w:val="24"/>
          <w:szCs w:val="24"/>
        </w:rPr>
        <w:t xml:space="preserve"> виконання платіжних зобов’язань Замовника відстрочується до усунення зазначених обставин. У разі затримки бюджетного фінансування та/або здійснення платежів не з вини Замовника, </w:t>
      </w:r>
      <w:proofErr w:type="gramStart"/>
      <w:r w:rsidRPr="00B267A7">
        <w:rPr>
          <w:rFonts w:ascii="Times New Roman" w:hAnsi="Times New Roman"/>
          <w:color w:val="000000"/>
          <w:sz w:val="24"/>
          <w:szCs w:val="24"/>
        </w:rPr>
        <w:t>оплата  здійснюється</w:t>
      </w:r>
      <w:proofErr w:type="gramEnd"/>
      <w:r w:rsidRPr="00B267A7">
        <w:rPr>
          <w:rFonts w:ascii="Times New Roman" w:hAnsi="Times New Roman"/>
          <w:color w:val="000000"/>
          <w:sz w:val="24"/>
          <w:szCs w:val="24"/>
        </w:rPr>
        <w:t xml:space="preserve"> протягом 5 (п'яти) </w:t>
      </w:r>
      <w:r w:rsidRPr="00B267A7">
        <w:rPr>
          <w:rFonts w:ascii="Times New Roman" w:hAnsi="Times New Roman"/>
          <w:color w:val="000000"/>
          <w:sz w:val="24"/>
          <w:szCs w:val="24"/>
        </w:rPr>
        <w:lastRenderedPageBreak/>
        <w:t>банківських днів з дати отримання Замовником відповідного бюджетного фінансування та/або можливості здійснити платежі.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4.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2.Розрахунки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за Договором проводяться в національній валюті України.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4.3. Сторони здійснюють звіряння розрахунків на підставі відомостей про фактичну оплату вартості Товару Замовником та акта приймання-передачі Товару протягом 10 днів з моменту вимоги однієї із Сторін. Зазначене оформляється актом звіряння, підписаного Сторонами за Договором.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4.4. Вид розрахунків – безготівковий.</w:t>
      </w:r>
    </w:p>
    <w:p w:rsidR="00EB3FD6" w:rsidRPr="00B267A7" w:rsidRDefault="00EB3FD6" w:rsidP="00EB3FD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5 .</w:t>
      </w:r>
      <w:proofErr w:type="gramEnd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ПОСТАВКА ТОВАРУ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5.1. Строк поставки Товару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 моменту підписання договору до 30.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11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.2022 року, протягом 1 – го дня з моменту подачі письмової заявки Замовником.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5.2. Постачальник поставляє Товар до місця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призначення  за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адресами згідно Додатку № 2.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5.3. Доставка до місця призначення здійснюється автомобільним транспортом за рахунок Постачальника.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5.4. Датою поставки вважається дата, яка вказана у видатковій накладній, яка оформлена Постачальником для Замовника.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5.Обов’язковими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товаросупровідними документами є видаткова накладна, Акт передання-прийняття, підписаний безпосередньо уповноваженими особами в місці призначення Товару, завірені копії документів про якість згідно п.2.3 цього Договору.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6.Передання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Замовникові товаросупровідних документів проводиться в момент поставки Товару, окремо від нього, через особу, що супроводжує Товар.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7.Передання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>-прийняття Товару проводиться: за кількістю – відповідно до товаросупровідних документів, за якістю – відповідно до документів, що засвідчують якість Товару.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8.Перехід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права власності на Товар виникає у Замовника з моменту оплати за партію товару. Перехід ризику випадкового знищення або випадкового пошкодження Товару переходять із Постачальника на Замовника з моменту прийняття Товару Замовником або уповноваженою ним особою в місці призначення, обумовленому Договором.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5.9.У разі поставки Товару за якістю нижче, ніж вимагається умовами Договору, Замовник має право відмовитися від його прийняття і оплати до його заміни на Товар, який відповідає умовам цього Договору.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5.10.У випадку, якщо Постачальник поставив Товар в асортименті, що не відповідає умовам Договору, Замовник має право відмовитися від його прийняття і оплати, до його заміни на Товар, який відповідає асортименту.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5.11. Якщо Товар, що не відповідає умовам якості та асортименту не було замінено протягом 1-ї доби з моменту заявленої вимоги, Замовник має право відмовитися від приймання і оплати цього Товару та вимагати повернення коштів, якщо Товар був оплачений.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12.Витрати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 повернення Товару, що не відповідає асортименту та його якості, покладаються на Постачальника.</w:t>
      </w:r>
    </w:p>
    <w:p w:rsidR="00EB3FD6" w:rsidRPr="00B267A7" w:rsidRDefault="00EB3FD6" w:rsidP="00EB3FD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6 .</w:t>
      </w:r>
      <w:proofErr w:type="gramEnd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ПРАВА ТА ОБОВЯЗКИ СТОРІН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1.Замовник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зобов’язаний: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lastRenderedPageBreak/>
        <w:t>6.1.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1.Своєчасно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та в повному обсязі сплачувати за поставлений Товар відповідно до умов Договору.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6.1.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2.Приймати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поставлений Товар згідно з видатковою накладною.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6.1.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3.Нести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всі ризики втрати чи пошкодження Товар з моменту здійснення поставки Товару до місць призначення, які обумовлені цим Договором.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6.1.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4.Забезпечити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Постачальника, на його вимогу, інформацією, необхідною для оформлення будь-якого додаткового страхування Товару.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2.Замовник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має право: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1.Достроково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розірвати цей Договір у разі невиконання зобов’язань Постачальником, повідомивши про це його у строк за 10 днів до моменту його розірвання.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2.Контролювати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поставку Товару у строки, встановлені цим Договором.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3.Зменшувати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4.Повернути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видаткову накладну та рахунок Постачальнику без здійснення оплати у разі неналежного оформлення документів, зазначених у пункті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5.7. Розділу 5 цього Договору (відсутність печатки, підписів тощо).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3.Постачальник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зобов’язаний: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1.Забезпечити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поставку Товару у строки, встановлені цим Договором.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2.Забезпечити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поставку Товару, якість якого відповідає умовам, встановленим Розділом 2 цього Договору.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3.Нести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всі витрати, пов’язані з доставкою Товару до місця призначення зазначеного в п. 5.2 цього Договору. А також нести ризики втрати або ушкодження Товару. 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4.Поставити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Замовникові Товар відповідно до умов даного Договору з наданням необхідних документів, визначених у Договорі.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6.3.5.В термін не пізніше ніж 3 доби до запланованої дати відправки Товару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Постачальник повинен повідомити Замовника (телефоном, факсом) наступні дані: дату здійснення поставки, номер і дату видаткової накладної, найменування та кількість відвантаженого Товару, дані про транспортний засіб і водія, для можливості вжити необхідних для одержання Товару заходів.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6.Нести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витрати, пов’язані з діями щодо перевірки Товару (такими як перевірка якості та кількості), необхідними для здійснення поставки.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7.Забезпечити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за власний рахунок завантаження Товару для його перевезення.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8.Попередити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Замовника про права третіх осіб на Товар.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4.Постачальник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має право: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6.4.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1.Своєчасно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та в повному обсязі отримувати плату за поставлений Товар.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6.4.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2.На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дострокову поставку Товару за письмовим погодженням Замовника.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6.4.3.У разі невиконання зобов’язань Замовником, Постачальник має право достроково розірвати цей Договір, повідомивши про це його у строк за місяць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до моменту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його розірвання.</w:t>
      </w:r>
    </w:p>
    <w:p w:rsidR="00EB3FD6" w:rsidRPr="00B267A7" w:rsidRDefault="00EB3FD6" w:rsidP="00EB3FD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7 .</w:t>
      </w:r>
      <w:proofErr w:type="gramEnd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ВІДПОВІДАЛЬНІСТЬ ОСІБ</w:t>
      </w:r>
    </w:p>
    <w:p w:rsidR="00EB3FD6" w:rsidRPr="00B267A7" w:rsidRDefault="00EB3FD6" w:rsidP="00EB3FD6">
      <w:pPr>
        <w:pStyle w:val="a5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7.1.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законодавством.</w:t>
      </w:r>
    </w:p>
    <w:p w:rsidR="00EB3FD6" w:rsidRPr="00B267A7" w:rsidRDefault="00EB3FD6" w:rsidP="00EB3FD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7.2. За порушення строків виконання зобов’язання Постачальник сплачує пеню в розмірі 0,1% вартості недопоставленого товару за кожну добу затримки, а за прострочення понад 10 днів з Постачальника додатково стягується штраф у розмірі 7% вказаної вартості договору.</w:t>
      </w:r>
    </w:p>
    <w:p w:rsidR="00EB3FD6" w:rsidRPr="00B267A7" w:rsidRDefault="00EB3FD6" w:rsidP="00EB3FD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7.3. Керуючись вимогами ст. 203 ЦК України, сторони домовились, що санкції передбачені ч.2 ст. 625 ЦК України в частині % річних не застосовуються Постачальником у випадках порушення Замовником строків розрахунків, зазначених у цьому Договорі, за поставлений товар, що є предметом цього договору.</w:t>
      </w:r>
    </w:p>
    <w:p w:rsidR="00EB3FD6" w:rsidRPr="00B267A7" w:rsidRDefault="00EB3FD6" w:rsidP="00EB3FD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8 .</w:t>
      </w:r>
      <w:proofErr w:type="gramEnd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ОБСТАВИНИ НЕПЕРЕБОРНОЇ СИЛИ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8.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1.Сторони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8.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2.Сторона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>, що не може виконувати зобов'язання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8.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3.Доказом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виникнення обставин непереборної сили та строку їх дії є відповідні документи, які видаються Торгово-промисловою палатою України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або регіональними торгово- промисловими палатами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8.4.У разі якщо строк дії обставин непереборної сили продовжується більше ніж більше 30 днів, кожна із Сторін в установленому порядку має право розірвати цей Договір. </w:t>
      </w:r>
    </w:p>
    <w:p w:rsidR="00EB3FD6" w:rsidRPr="00B267A7" w:rsidRDefault="00EB3FD6" w:rsidP="00EB3FD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9. ВИРІШЕННЯ СПОРІВ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9.1.У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9.2.У разі недосягнення Сторонами згоди, спори (розбіжності) вирішуються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у судовому порядку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B3FD6" w:rsidRPr="00B267A7" w:rsidRDefault="00EB3FD6" w:rsidP="00EB3FD6">
      <w:pPr>
        <w:spacing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aps/>
          <w:color w:val="000000" w:themeColor="text1"/>
          <w:sz w:val="24"/>
          <w:szCs w:val="24"/>
        </w:rPr>
        <w:t>10. СТРОК ДІЇ ДОГОВОРУ, УМОВИ ЙОГО РОЗІРВАННЯP, ЗМІНИ ДОГОВОРУ та припинення господарських зобовязаннь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1.Цей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Договір набирає чинності з моменту підписання обома Сторонами і діє до 31 грудня 2022 року.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2.Цей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Договір укладається і підписується у двох примірниках, що мають однакову юридичну силу.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10.3. Дія цього Договору може продовжуватися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на строк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>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4.Умови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розірвання Договору.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10.4.1.У випадках, якщо будуть порушені строки поставки, вказані у Договорі, або порушені Постачальником інші істотні умови цього Договору, Замовник має право розірвати Договір відповідно до чинного законодавства України, Постачальник при цьому зобов’язаний повністю або частково відшкодувати Замовникові будь-які витрати або збитки, які виникли при розірванні Договору.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lastRenderedPageBreak/>
        <w:t>10.4.2.У випадках відмови Замовника від прийняття зобов'язання порушеного Постачальником, Замовник має право розірвати Договір відповідно до чинного законодавства України та вимагати повернення коштів, сплачених за Товар.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10.4.3.У випадках, якщо будуть порушені строки оплати, вказані в Договорі, Постачальник має право розірвати Договір відповідно до чинного законодавства України.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10.4.4.У випадку відсутності державного фінансування на постачання Товару, Замовник має право розірвати Договір відповідно до чинного законодавства України без відшкодування Постачальникові будь-яких витрат або збитків, які виникли при розірванні Договору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10.4.5.У випадку зміни або скасування державного замовлення, Замовник має право розірвати Договір відповідно до чинного законодавства України, без відшкодування Постачальникові будь-яких витрат або збитків, які виникли при розірванні Договору.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10.4.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6.За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згодою Сторін.</w:t>
      </w:r>
    </w:p>
    <w:p w:rsidR="00EB3FD6" w:rsidRPr="00B267A7" w:rsidRDefault="00EB3FD6" w:rsidP="00EB3FD6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10.4.7. В інших випадках, передбачених чинним законодавством України.</w:t>
      </w:r>
    </w:p>
    <w:p w:rsidR="00EB3FD6" w:rsidRPr="00B267A7" w:rsidRDefault="00EB3FD6" w:rsidP="00EB3FD6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10.4.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8.Договір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припиняється між Сторонами у випадку:</w:t>
      </w:r>
    </w:p>
    <w:p w:rsidR="00EB3FD6" w:rsidRPr="00B267A7" w:rsidRDefault="00EB3FD6" w:rsidP="00EB3FD6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- виконання зобов'язань проведеним належним чином.</w:t>
      </w:r>
    </w:p>
    <w:p w:rsidR="00EB3FD6" w:rsidRPr="00B267A7" w:rsidRDefault="00EB3FD6" w:rsidP="00EB3FD6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- у разі поєднання управленої та зобов'язаної Сторін в одній особі;</w:t>
      </w:r>
    </w:p>
    <w:p w:rsidR="00EB3FD6" w:rsidRPr="00B267A7" w:rsidRDefault="00EB3FD6" w:rsidP="00EB3FD6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- за згодою Сторін;</w:t>
      </w:r>
    </w:p>
    <w:p w:rsidR="00EB3FD6" w:rsidRPr="00B267A7" w:rsidRDefault="00EB3FD6" w:rsidP="00EB3FD6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- через неможливість виконання цього Договору Сторонами.</w:t>
      </w:r>
    </w:p>
    <w:p w:rsidR="00EB3FD6" w:rsidRPr="00B267A7" w:rsidRDefault="00EB3FD6" w:rsidP="00EB3F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10.4.9. 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Договір про закупівлю є нікчемним у разі:</w:t>
      </w:r>
    </w:p>
    <w:p w:rsidR="00EB3FD6" w:rsidRPr="00B267A7" w:rsidRDefault="00EB3FD6" w:rsidP="00EB3FD6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1) якщо замовник уклав договір про закупівлю до/без проведення процедури закупівлі/спрощеної закупівлі згідно з вимогами цього Закону; </w:t>
      </w:r>
    </w:p>
    <w:p w:rsidR="00EB3FD6" w:rsidRPr="00B267A7" w:rsidRDefault="00EB3FD6" w:rsidP="00EB3FD6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2) укладення договору з порушенням вимог </w:t>
      </w:r>
      <w:hyperlink r:id="rId4" w:anchor="n1767" w:history="1">
        <w:r w:rsidRPr="00B267A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uk-UA"/>
          </w:rPr>
          <w:t>частини четвертої</w:t>
        </w:r>
      </w:hyperlink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статті 41 цього Закону;</w:t>
      </w:r>
    </w:p>
    <w:p w:rsidR="00EB3FD6" w:rsidRPr="00B267A7" w:rsidRDefault="00EB3FD6" w:rsidP="00EB3FD6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3) укладення договору в період оскарження процедури закупівлі відповідно до </w:t>
      </w:r>
      <w:hyperlink r:id="rId5" w:anchor="n1284" w:history="1">
        <w:r w:rsidRPr="00B267A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uk-UA"/>
          </w:rPr>
          <w:t>статті 18</w:t>
        </w:r>
      </w:hyperlink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цього Закону;</w:t>
      </w:r>
    </w:p>
    <w:p w:rsidR="00EB3FD6" w:rsidRPr="00B267A7" w:rsidRDefault="00EB3FD6" w:rsidP="00EB3FD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4) укладення договору з порушенням строків, передбачених </w:t>
      </w:r>
      <w:hyperlink r:id="rId6" w:anchor="n1623" w:history="1">
        <w:r w:rsidRPr="00B267A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uk-UA"/>
          </w:rPr>
          <w:t>частинами п’ятою</w:t>
        </w:r>
      </w:hyperlink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і </w:t>
      </w:r>
      <w:hyperlink r:id="rId7" w:anchor="n1624" w:history="1">
        <w:r w:rsidRPr="00B267A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uk-UA"/>
          </w:rPr>
          <w:t>шостою статті 33</w:t>
        </w:r>
      </w:hyperlink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та </w:t>
      </w:r>
      <w:hyperlink r:id="rId8" w:anchor="n1750" w:history="1">
        <w:r w:rsidRPr="00B267A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uk-UA"/>
          </w:rPr>
          <w:t>частиною сьомою статті 40</w:t>
        </w:r>
      </w:hyperlink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цього Закону, крім випадків зупинення перебігу строків у зв’язку з розглядом скарги органом оскарження відповідно до </w:t>
      </w:r>
      <w:hyperlink r:id="rId9" w:anchor="n1284" w:history="1">
        <w:r w:rsidRPr="00B267A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uk-UA"/>
          </w:rPr>
          <w:t>статті 18</w:t>
        </w:r>
      </w:hyperlink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цього Закону.</w:t>
      </w:r>
    </w:p>
    <w:p w:rsidR="00EB3FD6" w:rsidRPr="00B267A7" w:rsidRDefault="00EB3FD6" w:rsidP="00EB3FD6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5)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якщо назва предмета закупівлі із зазначенням коду за Єдиним закупівельним словником не відповідає товарам, роботам чи послугам, що фактично закуплені замовником.</w:t>
      </w:r>
    </w:p>
    <w:p w:rsidR="00EB3FD6" w:rsidRPr="00B267A7" w:rsidRDefault="00EB3FD6" w:rsidP="00EB3FD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11. ІНШІ УМОВИ</w:t>
      </w:r>
    </w:p>
    <w:p w:rsidR="00EB3FD6" w:rsidRPr="00B267A7" w:rsidRDefault="00EB3FD6" w:rsidP="00EB3FD6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1.Упаковка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і маркування.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11.1.1. Товар повинен бути відвантажений Постачальником таким чином, щоб виключити псування та/або знищення його на період поставки до прийняття Товару в місці призначення, обумовленому Договором.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11.1.2. Постачальник зобов’язаний використовувати для транспортування Товару спеціальний транспорт, який повинний задовольняти вимогам для даного типу Товару при його транспортуванні в обговорене місце призначення, щоб забезпечити повну цілість Товару.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11.1.3. Постачальник зобов’язаний відшкодувати Замовнику збитки, що виникли внаслідок неналежного транспортування та відвантаження Товару.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11.2. Договір складено у двох оригінальних примірниках, по одному для кожної із Сторін, що мають однакову юридичну силу.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lastRenderedPageBreak/>
        <w:t>11.3. У випадках не передбачених даним Договором, Сторони керуються чинним законодавством України.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11.4. Жодна з Сторін не має права передавати свої права за Договором третій Стороні без письмової згоди другої Сторони.</w:t>
      </w:r>
    </w:p>
    <w:p w:rsidR="00EB3FD6" w:rsidRPr="00B267A7" w:rsidRDefault="00EB3FD6" w:rsidP="00EB3F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11.5. Окрім положень Господарського кодексу України до виконання цього Договору застосовуються відповідні положення Цивільного кодексу України з урахуванням особливостей, передбачених цим Кодексом.</w:t>
      </w:r>
    </w:p>
    <w:p w:rsidR="00EB3FD6" w:rsidRPr="00B267A7" w:rsidRDefault="00EB3FD6" w:rsidP="00EB3FD6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11.6. Після підписання Договору всі попередні переговори за ним, листування, попередні угоди та протоколи про наміри втрачають силу.</w:t>
      </w:r>
    </w:p>
    <w:p w:rsidR="00EB3FD6" w:rsidRPr="00B267A7" w:rsidRDefault="00EB3FD6" w:rsidP="00EB3FD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12. ДОДАТКИ:</w:t>
      </w:r>
    </w:p>
    <w:p w:rsidR="00EB3FD6" w:rsidRPr="00B267A7" w:rsidRDefault="00EB3FD6" w:rsidP="00EB3FD6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1. Специфікація (Додаток №1)</w:t>
      </w:r>
    </w:p>
    <w:p w:rsidR="00EB3FD6" w:rsidRPr="00B267A7" w:rsidRDefault="00EB3FD6" w:rsidP="00EB3FD6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2. Перелік адрес, куди буде здійснюватися поставка (Додаток №2)</w:t>
      </w:r>
    </w:p>
    <w:p w:rsidR="00EB3FD6" w:rsidRPr="00B267A7" w:rsidRDefault="00EB3FD6" w:rsidP="00EB3FD6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716" w:type="dxa"/>
        <w:tblInd w:w="-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3"/>
        <w:gridCol w:w="5103"/>
      </w:tblGrid>
      <w:tr w:rsidR="00EB3FD6" w:rsidRPr="00B267A7" w:rsidTr="008503DB">
        <w:trPr>
          <w:trHeight w:val="2582"/>
        </w:trPr>
        <w:tc>
          <w:tcPr>
            <w:tcW w:w="4613" w:type="dxa"/>
            <w:shd w:val="clear" w:color="auto" w:fill="FFFFFF"/>
          </w:tcPr>
          <w:p w:rsidR="00EB3FD6" w:rsidRPr="00B267A7" w:rsidRDefault="00EB3FD6" w:rsidP="008503D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Замовник:</w:t>
            </w:r>
          </w:p>
          <w:p w:rsidR="00EB3FD6" w:rsidRPr="00B267A7" w:rsidRDefault="00EB3FD6" w:rsidP="008503D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Відділ освіти та гуманітарної політики Підкамінської селищної ради</w:t>
            </w:r>
          </w:p>
          <w:p w:rsidR="00EB3FD6" w:rsidRPr="00B267A7" w:rsidRDefault="00EB3FD6" w:rsidP="008503D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Україна, 80670, Львівська обл., Бродівський р-н, селище міського типу Підкамінь, вул.Незалежності, будинок 62</w:t>
            </w: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ЄДРПОУ </w:t>
            </w: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44060095</w:t>
            </w: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МФО___________</w:t>
            </w: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р/р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________________________________________</w:t>
            </w: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Начальник відділу освіти</w:t>
            </w:r>
          </w:p>
          <w:p w:rsidR="00EB3FD6" w:rsidRPr="00B267A7" w:rsidRDefault="00EB3FD6" w:rsidP="008503DB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_______________В.П.Ковальчук</w:t>
            </w:r>
          </w:p>
        </w:tc>
        <w:tc>
          <w:tcPr>
            <w:tcW w:w="5103" w:type="dxa"/>
            <w:shd w:val="clear" w:color="auto" w:fill="FFFFFF"/>
          </w:tcPr>
          <w:p w:rsidR="00EB3FD6" w:rsidRPr="00B267A7" w:rsidRDefault="00EB3FD6" w:rsidP="008503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Постачальник:</w:t>
            </w:r>
          </w:p>
        </w:tc>
      </w:tr>
    </w:tbl>
    <w:p w:rsidR="00EB3FD6" w:rsidRDefault="00EB3FD6" w:rsidP="00EB3FD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66DD" w:rsidRDefault="00DB66DD" w:rsidP="00EB3FD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66DD" w:rsidRDefault="00DB66DD" w:rsidP="00EB3FD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66DD" w:rsidRDefault="00DB66DD" w:rsidP="00EB3FD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66DD" w:rsidRDefault="00DB66DD" w:rsidP="00EB3FD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66DD" w:rsidRDefault="00DB66DD" w:rsidP="00EB3FD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66DD" w:rsidRDefault="00DB66DD" w:rsidP="00EB3FD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66DD" w:rsidRDefault="00DB66DD" w:rsidP="00EB3FD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66DD" w:rsidRDefault="00DB66DD" w:rsidP="00EB3FD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66DD" w:rsidRDefault="00DB66DD" w:rsidP="00EB3FD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66DD" w:rsidRPr="00B267A7" w:rsidRDefault="00DB66DD" w:rsidP="00EB3FD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3FD6" w:rsidRPr="00B267A7" w:rsidRDefault="00EB3FD6" w:rsidP="00EB3FD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Додаток № 1 до Договору № _____</w:t>
      </w:r>
    </w:p>
    <w:p w:rsidR="00EB3FD6" w:rsidRPr="00B267A7" w:rsidRDefault="00EB3FD6" w:rsidP="00EB3FD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від «____» _______________ 2022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року  </w:t>
      </w:r>
    </w:p>
    <w:p w:rsidR="00EB3FD6" w:rsidRPr="00B267A7" w:rsidRDefault="00EB3FD6" w:rsidP="00EB3FD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СПЕЦИФІКАЦІЯ</w:t>
      </w:r>
    </w:p>
    <w:tbl>
      <w:tblPr>
        <w:tblW w:w="105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3148"/>
        <w:gridCol w:w="1389"/>
        <w:gridCol w:w="1134"/>
        <w:gridCol w:w="1134"/>
        <w:gridCol w:w="1134"/>
        <w:gridCol w:w="1446"/>
      </w:tblGrid>
      <w:tr w:rsidR="00EB3FD6" w:rsidRPr="00B267A7" w:rsidTr="008503D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Найменування товару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FD6" w:rsidRPr="00B267A7" w:rsidRDefault="00EB3FD6" w:rsidP="008503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B267A7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Виробник,</w:t>
            </w:r>
          </w:p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країна походження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Ціна за одиницю, грн.,</w:t>
            </w:r>
          </w:p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 ПДВ**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Загальна вартість, грн.., з ПДВ**</w:t>
            </w:r>
          </w:p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3FD6" w:rsidRPr="00B267A7" w:rsidTr="008503DB">
        <w:trPr>
          <w:trHeight w:val="1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D6" w:rsidRPr="00B267A7" w:rsidRDefault="00EB3FD6" w:rsidP="008503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FD6" w:rsidRPr="00B267A7" w:rsidRDefault="00EB3FD6" w:rsidP="008503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D6" w:rsidRPr="00B267A7" w:rsidRDefault="00EB3FD6" w:rsidP="008503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D6" w:rsidRPr="00B267A7" w:rsidRDefault="00EB3FD6" w:rsidP="008503DB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3FD6" w:rsidRPr="00B267A7" w:rsidTr="008503DB">
        <w:trPr>
          <w:trHeight w:val="2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 з ПДВ**, грн.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3FD6" w:rsidRPr="00B267A7" w:rsidTr="008503DB">
        <w:trPr>
          <w:trHeight w:val="2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тому числі ПДВ**, грн.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FD6" w:rsidRPr="00B267A7" w:rsidRDefault="00EB3FD6" w:rsidP="008503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B3FD6" w:rsidRPr="00B267A7" w:rsidRDefault="00EB3FD6" w:rsidP="00EB3FD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EB3FD6" w:rsidRPr="00B267A7" w:rsidRDefault="00EB3FD6" w:rsidP="00EB3FD6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/>
          <w:i/>
          <w:color w:val="000000" w:themeColor="text1"/>
          <w:spacing w:val="-10"/>
          <w:sz w:val="24"/>
          <w:szCs w:val="24"/>
        </w:rPr>
      </w:pPr>
      <w:r w:rsidRPr="00B267A7">
        <w:rPr>
          <w:rFonts w:ascii="Times New Roman" w:hAnsi="Times New Roman"/>
          <w:i/>
          <w:color w:val="000000" w:themeColor="text1"/>
          <w:sz w:val="24"/>
          <w:szCs w:val="24"/>
        </w:rPr>
        <w:t xml:space="preserve">* - </w:t>
      </w:r>
      <w:r w:rsidRPr="00B267A7">
        <w:rPr>
          <w:rFonts w:ascii="Times New Roman" w:hAnsi="Times New Roman"/>
          <w:i/>
          <w:color w:val="000000" w:themeColor="text1"/>
          <w:spacing w:val="-10"/>
          <w:sz w:val="24"/>
          <w:szCs w:val="24"/>
        </w:rPr>
        <w:t>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законодавства.</w:t>
      </w:r>
    </w:p>
    <w:tbl>
      <w:tblPr>
        <w:tblW w:w="9716" w:type="dxa"/>
        <w:tblInd w:w="-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3"/>
        <w:gridCol w:w="5103"/>
      </w:tblGrid>
      <w:tr w:rsidR="00EB3FD6" w:rsidRPr="00B267A7" w:rsidTr="008503DB">
        <w:trPr>
          <w:trHeight w:val="2582"/>
        </w:trPr>
        <w:tc>
          <w:tcPr>
            <w:tcW w:w="4613" w:type="dxa"/>
            <w:shd w:val="clear" w:color="auto" w:fill="FFFFFF"/>
          </w:tcPr>
          <w:p w:rsidR="00EB3FD6" w:rsidRPr="00075FF4" w:rsidRDefault="00EB3FD6" w:rsidP="008503DB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5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Замовник:</w:t>
            </w:r>
          </w:p>
          <w:p w:rsidR="00EB3FD6" w:rsidRPr="00B267A7" w:rsidRDefault="00EB3FD6" w:rsidP="008503D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Відділ освіти та гуманітарної політики Підкамінської селищної ради</w:t>
            </w:r>
          </w:p>
          <w:p w:rsidR="00EB3FD6" w:rsidRPr="00B267A7" w:rsidRDefault="00EB3FD6" w:rsidP="008503D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Україна, 80670, Львівська обл., Бродівський р-н, селище міського типу Підкамінь, вул.Незалежності, будинок 62</w:t>
            </w: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ЄДРПОУ </w:t>
            </w: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44060095</w:t>
            </w: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МФО___________</w:t>
            </w: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р/р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</w:t>
            </w: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Начальник відділу освіти</w:t>
            </w:r>
          </w:p>
          <w:p w:rsidR="00EB3FD6" w:rsidRPr="00B267A7" w:rsidRDefault="00EB3FD6" w:rsidP="008503DB">
            <w:pPr>
              <w:widowControl w:val="0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_______________В.П.Ковальчук</w:t>
            </w:r>
          </w:p>
        </w:tc>
        <w:tc>
          <w:tcPr>
            <w:tcW w:w="5103" w:type="dxa"/>
            <w:shd w:val="clear" w:color="auto" w:fill="FFFFFF"/>
          </w:tcPr>
          <w:p w:rsidR="00EB3FD6" w:rsidRPr="00B267A7" w:rsidRDefault="00EB3FD6" w:rsidP="008503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Постачальник:</w:t>
            </w:r>
          </w:p>
        </w:tc>
      </w:tr>
    </w:tbl>
    <w:p w:rsidR="00EB3FD6" w:rsidRPr="00B267A7" w:rsidRDefault="00EB3FD6" w:rsidP="00EB3FD6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3FD6" w:rsidRDefault="00EB3FD6" w:rsidP="00EB3FD6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3FD6" w:rsidRDefault="00EB3FD6" w:rsidP="00EB3FD6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3FD6" w:rsidRDefault="00EB3FD6" w:rsidP="00EB3FD6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3FD6" w:rsidRDefault="00EB3FD6" w:rsidP="00EB3FD6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3FD6" w:rsidRDefault="00EB3FD6" w:rsidP="00EB3FD6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3FD6" w:rsidRDefault="00EB3FD6" w:rsidP="00EB3FD6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3FD6" w:rsidRDefault="00EB3FD6" w:rsidP="00EB3FD6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3FD6" w:rsidRPr="00B267A7" w:rsidRDefault="00EB3FD6" w:rsidP="00EB3FD6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3FD6" w:rsidRPr="00B267A7" w:rsidRDefault="00EB3FD6" w:rsidP="00EB3FD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Додаток № 2 до Договору № _____</w:t>
      </w:r>
    </w:p>
    <w:p w:rsidR="00EB3FD6" w:rsidRPr="00B267A7" w:rsidRDefault="00EB3FD6" w:rsidP="00EB3FD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від “____” _______________ 2022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року  </w:t>
      </w:r>
    </w:p>
    <w:p w:rsidR="00DC528B" w:rsidRPr="00DC528B" w:rsidRDefault="00EB3FD6" w:rsidP="00DC528B">
      <w:pPr>
        <w:pStyle w:val="a3"/>
        <w:shd w:val="clear" w:color="auto" w:fill="FFFFFF"/>
        <w:suppressAutoHyphens/>
        <w:spacing w:line="240" w:lineRule="auto"/>
        <w:rPr>
          <w:rFonts w:ascii="Times New Roman" w:hAnsi="Times New Roman" w:cs="Calibri"/>
          <w:b/>
          <w:bCs/>
          <w:color w:val="000000" w:themeColor="text1"/>
          <w:sz w:val="24"/>
          <w:szCs w:val="24"/>
          <w:lang w:val="uk-UA" w:eastAsia="zh-CN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DC528B" w:rsidRPr="00DC528B">
        <w:rPr>
          <w:rFonts w:ascii="Times New Roman" w:hAnsi="Times New Roman" w:cs="Calibri"/>
          <w:b/>
          <w:bCs/>
          <w:color w:val="000000" w:themeColor="text1"/>
          <w:sz w:val="24"/>
          <w:szCs w:val="24"/>
          <w:lang w:val="uk-UA" w:eastAsia="zh-CN"/>
        </w:rPr>
        <w:t xml:space="preserve">Перелік  закладів  </w:t>
      </w:r>
      <w:r w:rsidR="00DC528B" w:rsidRPr="00DC528B">
        <w:rPr>
          <w:rFonts w:ascii="Times New Roman" w:hAnsi="Times New Roman" w:cs="Calibri"/>
          <w:b/>
          <w:color w:val="000000" w:themeColor="text1"/>
          <w:sz w:val="24"/>
          <w:szCs w:val="24"/>
          <w:lang w:val="uk-UA" w:eastAsia="uk-UA"/>
        </w:rPr>
        <w:t>відділу освіти та гуманітарної політики Підкамінської селищної ради Золочівського  району  Львівської області</w:t>
      </w:r>
    </w:p>
    <w:tbl>
      <w:tblPr>
        <w:tblW w:w="1023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268"/>
        <w:gridCol w:w="732"/>
        <w:gridCol w:w="3658"/>
      </w:tblGrid>
      <w:tr w:rsidR="00DC528B" w:rsidRPr="00DC528B" w:rsidTr="002B5906">
        <w:trPr>
          <w:trHeight w:val="840"/>
          <w:jc w:val="center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Назва закладу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  <w:t>кількість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Адреса закладу</w:t>
            </w:r>
          </w:p>
        </w:tc>
      </w:tr>
      <w:tr w:rsidR="00DC528B" w:rsidRPr="00DC528B" w:rsidTr="002B5906">
        <w:trPr>
          <w:trHeight w:val="84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Голубицький заклад загальної середньої освіти І-ІІ ступенів з дошкільним підрозділом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  <w:t>28т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с.Голубиця вул.Центральна ,73</w:t>
            </w:r>
          </w:p>
        </w:tc>
      </w:tr>
      <w:tr w:rsidR="00DC528B" w:rsidRPr="00DC528B" w:rsidTr="002B5906">
        <w:trPr>
          <w:trHeight w:val="84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Нем’ячівський  заклад загальної середньої освіти І-ІІ ступенів з дошкільним підрозділом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  <w:t>10т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с.Нем’яч вул.Центральна, 12</w:t>
            </w:r>
          </w:p>
        </w:tc>
      </w:tr>
      <w:tr w:rsidR="00DC528B" w:rsidRPr="00DC528B" w:rsidTr="002B5906">
        <w:trPr>
          <w:trHeight w:val="84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Паликоровівський заклад загальної середньої освіти І-ІІ ступенів з дошкільним підрозділом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  <w:t>53 т</w:t>
            </w:r>
          </w:p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с.Паликорови вул.Центральна, 94</w:t>
            </w:r>
          </w:p>
        </w:tc>
      </w:tr>
      <w:tr w:rsidR="00DC528B" w:rsidRPr="00DC528B" w:rsidTr="002B5906">
        <w:trPr>
          <w:trHeight w:val="84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      4   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Орихівчицький заклад загальної середньої освіти І-ІІ ступенів з дошкільним підрозділом</w:t>
            </w:r>
          </w:p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  <w:t>28 т</w:t>
            </w:r>
          </w:p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с.Орихівчик вул.Шкільна 1</w:t>
            </w:r>
          </w:p>
        </w:tc>
      </w:tr>
      <w:tr w:rsidR="00DC528B" w:rsidRPr="00DC528B" w:rsidTr="002B5906">
        <w:trPr>
          <w:trHeight w:val="84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 xml:space="preserve">5  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Пеняківський заклад загальної середньої освіти І-ІІ ступенів з дошкільним підрозділом</w:t>
            </w:r>
          </w:p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en-US" w:eastAsia="uk-UA"/>
              </w:rPr>
              <w:t>28т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528B" w:rsidRPr="00DC528B" w:rsidRDefault="00DC528B" w:rsidP="00DC528B">
            <w:pPr>
              <w:spacing w:after="200" w:line="235" w:lineRule="atLeas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</w:pPr>
            <w:r w:rsidRPr="00DC528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uk-UA" w:eastAsia="uk-UA"/>
              </w:rPr>
              <w:t>с.Пеняки вул.Набережна 1</w:t>
            </w:r>
          </w:p>
        </w:tc>
      </w:tr>
    </w:tbl>
    <w:p w:rsidR="00EB3FD6" w:rsidRPr="00B267A7" w:rsidRDefault="00EB3FD6" w:rsidP="00DC528B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zh-CN"/>
        </w:rPr>
      </w:pPr>
      <w:bookmarkStart w:id="2" w:name="_GoBack"/>
      <w:bookmarkEnd w:id="2"/>
    </w:p>
    <w:tbl>
      <w:tblPr>
        <w:tblW w:w="971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3"/>
        <w:gridCol w:w="5103"/>
      </w:tblGrid>
      <w:tr w:rsidR="00EB3FD6" w:rsidRPr="00B267A7" w:rsidTr="008503DB">
        <w:trPr>
          <w:trHeight w:val="2582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3FD6" w:rsidRDefault="00EB3FD6" w:rsidP="008503DB">
            <w:pPr>
              <w:widowControl w:val="0"/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3FD6" w:rsidRPr="00075FF4" w:rsidRDefault="00EB3FD6" w:rsidP="008503DB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5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Замовник:</w:t>
            </w:r>
          </w:p>
          <w:p w:rsidR="00EB3FD6" w:rsidRPr="00B267A7" w:rsidRDefault="00EB3FD6" w:rsidP="008503D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Відділ освіти та гуманітарної політики Підкамінської селищної ради</w:t>
            </w:r>
          </w:p>
          <w:p w:rsidR="00EB3FD6" w:rsidRPr="00B267A7" w:rsidRDefault="00EB3FD6" w:rsidP="008503D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Україна, 80670, Львівська обл., Бродівський р-н, селище міського типу Підкамінь, вул.Незалежності, будинок 62</w:t>
            </w: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ЄДРПОУ </w:t>
            </w: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44060095</w:t>
            </w: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МФО___________</w:t>
            </w: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р/р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</w:t>
            </w:r>
          </w:p>
          <w:p w:rsidR="00EB3FD6" w:rsidRPr="00B267A7" w:rsidRDefault="00EB3FD6" w:rsidP="008503D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Начальник відділу освіти</w:t>
            </w:r>
          </w:p>
          <w:p w:rsidR="00EB3FD6" w:rsidRPr="00B267A7" w:rsidRDefault="00EB3FD6" w:rsidP="008503DB">
            <w:pPr>
              <w:widowControl w:val="0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_______________В.П.Ковальчук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3FD6" w:rsidRDefault="00EB3FD6" w:rsidP="008503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3FD6" w:rsidRPr="00B267A7" w:rsidRDefault="00EB3FD6" w:rsidP="008503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Постачальник:</w:t>
            </w:r>
          </w:p>
        </w:tc>
      </w:tr>
    </w:tbl>
    <w:p w:rsidR="004A7FA1" w:rsidRPr="00EB3FD6" w:rsidRDefault="004A7FA1" w:rsidP="00EB3FD6"/>
    <w:sectPr w:rsidR="004A7FA1" w:rsidRPr="00EB3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0"/>
    <w:rsid w:val="004A7FA1"/>
    <w:rsid w:val="00BE2590"/>
    <w:rsid w:val="00DB66DD"/>
    <w:rsid w:val="00DC528B"/>
    <w:rsid w:val="00E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7C6B"/>
  <w15:chartTrackingRefBased/>
  <w15:docId w15:val="{EDCAA8F9-1629-46AB-BE66-FAD9A252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9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BE2590"/>
    <w:pPr>
      <w:ind w:left="720"/>
      <w:contextualSpacing/>
    </w:pPr>
  </w:style>
  <w:style w:type="character" w:customStyle="1" w:styleId="a4">
    <w:name w:val="Абзац списку Знак"/>
    <w:aliases w:val="Список уровня 2 Знак"/>
    <w:link w:val="a3"/>
    <w:uiPriority w:val="34"/>
    <w:locked/>
    <w:rsid w:val="00BE2590"/>
    <w:rPr>
      <w:rFonts w:ascii="Calibri" w:eastAsia="Calibri" w:hAnsi="Calibri" w:cs="Times New Roman"/>
      <w:lang w:val="ru-RU"/>
    </w:rPr>
  </w:style>
  <w:style w:type="paragraph" w:customStyle="1" w:styleId="1">
    <w:name w:val="Обычный1"/>
    <w:qFormat/>
    <w:rsid w:val="00EB3FD6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paragraph" w:styleId="a5">
    <w:name w:val="No Spacing"/>
    <w:link w:val="a6"/>
    <w:qFormat/>
    <w:rsid w:val="00EB3FD6"/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locked/>
    <w:rsid w:val="00EB3FD6"/>
    <w:rPr>
      <w:rFonts w:ascii="Calibri" w:eastAsia="Calibri" w:hAnsi="Calibri" w:cs="Times New Roman"/>
    </w:rPr>
  </w:style>
  <w:style w:type="paragraph" w:customStyle="1" w:styleId="rvps2">
    <w:name w:val="rvps2"/>
    <w:basedOn w:val="a"/>
    <w:qFormat/>
    <w:rsid w:val="00EB3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15464</Words>
  <Characters>8816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2022-08-24T08:24:00Z</dcterms:created>
  <dcterms:modified xsi:type="dcterms:W3CDTF">2022-09-23T09:28:00Z</dcterms:modified>
</cp:coreProperties>
</file>