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0" w:rsidRDefault="006D28E0" w:rsidP="006D28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proofErr w:type="spellStart"/>
      <w:r>
        <w:rPr>
          <w:b/>
          <w:sz w:val="28"/>
          <w:szCs w:val="28"/>
        </w:rPr>
        <w:t>одаток</w:t>
      </w:r>
      <w:proofErr w:type="spellEnd"/>
      <w:r>
        <w:rPr>
          <w:b/>
          <w:sz w:val="28"/>
          <w:szCs w:val="28"/>
        </w:rPr>
        <w:t xml:space="preserve"> 1</w:t>
      </w:r>
    </w:p>
    <w:p w:rsidR="006D28E0" w:rsidRDefault="006D28E0" w:rsidP="006D28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</w:p>
    <w:p w:rsidR="006D28E0" w:rsidRDefault="006D28E0" w:rsidP="006D2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uk-UA"/>
        </w:rPr>
      </w:pPr>
    </w:p>
    <w:p w:rsidR="006D28E0" w:rsidRDefault="006D28E0" w:rsidP="006D2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ТЕНДЕРНА  ПРОПОЗИЦІЯ</w:t>
      </w:r>
    </w:p>
    <w:p w:rsidR="006D28E0" w:rsidRDefault="006D28E0" w:rsidP="006D2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uk-UA"/>
        </w:rPr>
      </w:pPr>
      <w:proofErr w:type="gramStart"/>
      <w:r>
        <w:rPr>
          <w:b/>
          <w:bCs/>
          <w:sz w:val="28"/>
          <w:szCs w:val="28"/>
          <w:u w:val="single"/>
        </w:rPr>
        <w:t>на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закупівлю</w:t>
      </w:r>
      <w:proofErr w:type="spellEnd"/>
    </w:p>
    <w:p w:rsidR="006D28E0" w:rsidRDefault="006D28E0" w:rsidP="006D2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uk-UA"/>
        </w:rPr>
      </w:pPr>
    </w:p>
    <w:p w:rsidR="006D28E0" w:rsidRDefault="006D28E0" w:rsidP="006D28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  <w:lang w:eastAsia="uk-UA"/>
        </w:rPr>
      </w:pPr>
      <w:proofErr w:type="spellStart"/>
      <w:r>
        <w:rPr>
          <w:b/>
          <w:sz w:val="32"/>
          <w:szCs w:val="32"/>
          <w:u w:val="single"/>
          <w:lang w:eastAsia="uk-UA"/>
        </w:rPr>
        <w:t>Нафта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і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дистиляти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 – код ДК 021:2015 - 09130000-9</w:t>
      </w:r>
    </w:p>
    <w:p w:rsidR="006D28E0" w:rsidRDefault="006D28E0" w:rsidP="006D28E0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eastAsia="uk-UA"/>
        </w:rPr>
        <w:t>(</w:t>
      </w:r>
      <w:r>
        <w:rPr>
          <w:b/>
          <w:bCs/>
          <w:sz w:val="32"/>
          <w:szCs w:val="32"/>
          <w:u w:val="single"/>
        </w:rPr>
        <w:t>бензин А-9</w:t>
      </w:r>
      <w:r>
        <w:rPr>
          <w:b/>
          <w:bCs/>
          <w:sz w:val="32"/>
          <w:szCs w:val="32"/>
          <w:u w:val="single"/>
          <w:lang w:val="uk-UA"/>
        </w:rPr>
        <w:t>5, дизельне паливо, газ автомобільний</w:t>
      </w:r>
      <w:r>
        <w:rPr>
          <w:b/>
          <w:sz w:val="32"/>
          <w:szCs w:val="32"/>
          <w:u w:val="single"/>
          <w:lang w:eastAsia="uk-UA"/>
        </w:rPr>
        <w:t>)</w:t>
      </w:r>
    </w:p>
    <w:p w:rsidR="006D28E0" w:rsidRDefault="006D28E0" w:rsidP="006D28E0">
      <w:pPr>
        <w:ind w:left="284" w:right="565"/>
        <w:jc w:val="center"/>
        <w:rPr>
          <w:b/>
          <w:sz w:val="32"/>
          <w:szCs w:val="32"/>
          <w:lang w:val="uk-UA"/>
        </w:rPr>
      </w:pPr>
    </w:p>
    <w:tbl>
      <w:tblPr>
        <w:tblW w:w="4888" w:type="pct"/>
        <w:tblLook w:val="04A0"/>
      </w:tblPr>
      <w:tblGrid>
        <w:gridCol w:w="6736"/>
        <w:gridCol w:w="3037"/>
      </w:tblGrid>
      <w:tr w:rsidR="006D28E0" w:rsidRPr="006D28E0" w:rsidTr="006D28E0"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1. Повне або скорочене  найменування учасника (прізвище, ім’я, по батькові для Учасників фізичних осіб, фізичних осіб-підприємців)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28E0" w:rsidTr="006D28E0">
        <w:trPr>
          <w:trHeight w:val="121"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 Юридична та фактична адреса учасника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28E0" w:rsidTr="006D28E0"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3. Код ЄДРПОУ/ІПН учасника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28E0" w:rsidTr="006D28E0"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Банківські реквізити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28E0" w:rsidTr="006D28E0"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 Телефон (факс), е-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E0" w:rsidRDefault="006D28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D28E0" w:rsidRDefault="006D28E0" w:rsidP="006D28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D28E0" w:rsidRDefault="006D28E0" w:rsidP="006D28E0">
      <w:pPr>
        <w:widowControl w:val="0"/>
        <w:autoSpaceDE w:val="0"/>
        <w:autoSpaceDN w:val="0"/>
        <w:adjustRightInd w:val="0"/>
        <w:ind w:left="-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Вивчивши дану тендерну документацію, на виконання зазначеного вище, ми,     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:rsidR="006D28E0" w:rsidRDefault="006D28E0" w:rsidP="006D28E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1276"/>
        <w:gridCol w:w="1701"/>
        <w:gridCol w:w="1275"/>
        <w:gridCol w:w="1843"/>
      </w:tblGrid>
      <w:tr w:rsidR="00FE6AB6" w:rsidTr="00FE6AB6">
        <w:trPr>
          <w:trHeight w:val="7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>№</w:t>
            </w:r>
          </w:p>
          <w:p w:rsidR="006D28E0" w:rsidRPr="006D28E0" w:rsidRDefault="006D28E0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 xml:space="preserve">   Найменування товару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ind w:left="-108" w:right="-109"/>
              <w:jc w:val="center"/>
              <w:rPr>
                <w:b/>
                <w:bCs/>
                <w:lang w:val="uk-UA" w:eastAsia="ar-SA"/>
              </w:rPr>
            </w:pPr>
          </w:p>
          <w:p w:rsidR="006D28E0" w:rsidRPr="006D28E0" w:rsidRDefault="006D28E0">
            <w:pPr>
              <w:suppressAutoHyphens/>
              <w:snapToGrid w:val="0"/>
              <w:ind w:right="-109"/>
              <w:jc w:val="center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ind w:left="-108" w:right="-109"/>
              <w:jc w:val="center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ind w:right="-108"/>
              <w:jc w:val="center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>Ціна за одиницю, грн., без ПДВ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bCs/>
                <w:lang w:val="uk-UA" w:eastAsia="ar-SA"/>
              </w:rPr>
              <w:t>Ціна за одиницю, грн., з ПДВ*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28E0" w:rsidRPr="006D28E0" w:rsidRDefault="00F3338B" w:rsidP="00F3338B">
            <w:pPr>
              <w:suppressAutoHyphens/>
              <w:snapToGrid w:val="0"/>
              <w:ind w:right="-108"/>
              <w:jc w:val="center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uk-UA" w:eastAsia="ar-SA"/>
              </w:rPr>
              <w:t xml:space="preserve">Варті </w:t>
            </w:r>
            <w:proofErr w:type="spellStart"/>
            <w:r w:rsidR="006D28E0" w:rsidRPr="006D28E0">
              <w:rPr>
                <w:b/>
                <w:bCs/>
                <w:lang w:val="uk-UA" w:eastAsia="ar-SA"/>
              </w:rPr>
              <w:t>ть</w:t>
            </w:r>
            <w:proofErr w:type="spellEnd"/>
            <w:r w:rsidR="006D28E0" w:rsidRPr="006D28E0">
              <w:rPr>
                <w:b/>
                <w:bCs/>
                <w:lang w:val="uk-UA" w:eastAsia="ar-SA"/>
              </w:rPr>
              <w:t xml:space="preserve"> грн., з ПДВ*</w:t>
            </w:r>
          </w:p>
        </w:tc>
      </w:tr>
      <w:tr w:rsidR="00FE6AB6" w:rsidTr="00FE6AB6">
        <w:trPr>
          <w:trHeight w:val="30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  <w:r w:rsidRPr="006D28E0">
              <w:rPr>
                <w:lang w:val="uk-UA"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</w:p>
        </w:tc>
      </w:tr>
      <w:tr w:rsidR="00FE6AB6" w:rsidTr="00FE6AB6">
        <w:trPr>
          <w:trHeight w:val="30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  <w:r w:rsidRPr="006D28E0">
              <w:rPr>
                <w:lang w:val="uk-UA"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</w:p>
        </w:tc>
      </w:tr>
      <w:tr w:rsidR="00FE6AB6" w:rsidTr="00FE6AB6">
        <w:trPr>
          <w:trHeight w:val="30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  <w:r w:rsidRPr="006D28E0">
              <w:rPr>
                <w:lang w:val="uk-UA"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jc w:val="center"/>
              <w:rPr>
                <w:b/>
                <w:bCs/>
                <w:lang w:val="uk-UA" w:eastAsia="ar-SA"/>
              </w:rPr>
            </w:pPr>
          </w:p>
        </w:tc>
      </w:tr>
      <w:tr w:rsidR="006D28E0" w:rsidTr="00FE6AB6">
        <w:trPr>
          <w:trHeight w:val="3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8E0" w:rsidRPr="006D28E0" w:rsidRDefault="006D28E0">
            <w:pPr>
              <w:suppressAutoHyphens/>
              <w:snapToGrid w:val="0"/>
              <w:rPr>
                <w:b/>
                <w:lang w:val="uk-UA" w:eastAsia="ar-SA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lang w:val="uk-UA" w:eastAsia="ar-SA"/>
              </w:rPr>
              <w:t>Загальна вартість пропозиції, грн. без ПДВ</w:t>
            </w:r>
          </w:p>
        </w:tc>
      </w:tr>
      <w:tr w:rsidR="006D28E0" w:rsidTr="00FE6AB6">
        <w:trPr>
          <w:trHeight w:val="3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rPr>
                <w:b/>
                <w:lang w:val="uk-UA" w:eastAsia="ar-SA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lang w:val="uk-UA" w:eastAsia="ar-SA"/>
              </w:rPr>
              <w:t>ПДВ, грн.*</w:t>
            </w:r>
          </w:p>
        </w:tc>
      </w:tr>
      <w:tr w:rsidR="006D28E0" w:rsidTr="00FE6AB6">
        <w:trPr>
          <w:trHeight w:val="3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E0" w:rsidRPr="006D28E0" w:rsidRDefault="006D28E0">
            <w:pPr>
              <w:suppressAutoHyphens/>
              <w:snapToGrid w:val="0"/>
              <w:rPr>
                <w:b/>
                <w:lang w:val="uk-UA" w:eastAsia="ar-SA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8E0" w:rsidRPr="006D28E0" w:rsidRDefault="006D28E0">
            <w:pPr>
              <w:suppressAutoHyphens/>
              <w:snapToGrid w:val="0"/>
              <w:rPr>
                <w:b/>
                <w:bCs/>
                <w:lang w:val="uk-UA" w:eastAsia="ar-SA"/>
              </w:rPr>
            </w:pPr>
            <w:r w:rsidRPr="006D28E0">
              <w:rPr>
                <w:b/>
                <w:lang w:val="uk-UA" w:eastAsia="ar-SA"/>
              </w:rPr>
              <w:t>Загальна вартість пропозиції, грн. з ПДВ*</w:t>
            </w:r>
          </w:p>
        </w:tc>
      </w:tr>
    </w:tbl>
    <w:p w:rsidR="006D28E0" w:rsidRDefault="006D28E0" w:rsidP="006D28E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6D28E0" w:rsidRDefault="006D28E0" w:rsidP="006D28E0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uk-UA"/>
        </w:rPr>
      </w:pPr>
      <w:r>
        <w:rPr>
          <w:rFonts w:eastAsia="Calibri"/>
          <w:i/>
          <w:sz w:val="28"/>
          <w:szCs w:val="28"/>
          <w:lang w:val="uk-UA" w:eastAsia="en-US"/>
        </w:rPr>
        <w:t>* ціна за одиницю з ПДВ, вартість з ПДВ, ПДВ  та загальна вартість з ПДВ  зазначається лише тими учасниками, які є платниками ПДВ.</w:t>
      </w:r>
    </w:p>
    <w:p w:rsidR="006D28E0" w:rsidRDefault="006D28E0" w:rsidP="006D28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D28E0" w:rsidRDefault="006D28E0" w:rsidP="006D28E0">
      <w:pPr>
        <w:widowControl w:val="0"/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зобов’язання виконати всі у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Договором.</w:t>
      </w:r>
    </w:p>
    <w:p w:rsidR="006D28E0" w:rsidRDefault="006D28E0" w:rsidP="006D28E0">
      <w:pPr>
        <w:widowControl w:val="0"/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 </w:t>
      </w:r>
      <w:proofErr w:type="spellStart"/>
      <w:r>
        <w:rPr>
          <w:sz w:val="28"/>
          <w:szCs w:val="28"/>
        </w:rPr>
        <w:t>погоджуємося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90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Вами. Наша </w:t>
      </w:r>
      <w:proofErr w:type="spellStart"/>
      <w:r>
        <w:rPr>
          <w:sz w:val="28"/>
          <w:szCs w:val="28"/>
        </w:rPr>
        <w:t>пропозиція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обов’язковою</w:t>
      </w:r>
      <w:proofErr w:type="spellEnd"/>
      <w:r>
        <w:rPr>
          <w:sz w:val="28"/>
          <w:szCs w:val="28"/>
        </w:rPr>
        <w:t xml:space="preserve"> для нас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розглядатися</w:t>
      </w:r>
      <w:proofErr w:type="spellEnd"/>
      <w:r>
        <w:rPr>
          <w:sz w:val="28"/>
          <w:szCs w:val="28"/>
        </w:rPr>
        <w:t xml:space="preserve"> Вами у </w:t>
      </w:r>
      <w:proofErr w:type="spellStart"/>
      <w:r>
        <w:rPr>
          <w:sz w:val="28"/>
          <w:szCs w:val="28"/>
        </w:rPr>
        <w:t>будь-який</w:t>
      </w:r>
      <w:proofErr w:type="spellEnd"/>
      <w:r>
        <w:rPr>
          <w:sz w:val="28"/>
          <w:szCs w:val="28"/>
        </w:rPr>
        <w:t xml:space="preserve"> час до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>.</w:t>
      </w:r>
    </w:p>
    <w:p w:rsidR="006D28E0" w:rsidRDefault="006D28E0" w:rsidP="006D28E0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наша </w:t>
      </w:r>
      <w:proofErr w:type="spellStart"/>
      <w:r>
        <w:rPr>
          <w:sz w:val="28"/>
          <w:szCs w:val="28"/>
        </w:rPr>
        <w:t>пропозиція</w:t>
      </w:r>
      <w:proofErr w:type="spellEnd"/>
      <w:r>
        <w:rPr>
          <w:sz w:val="28"/>
          <w:szCs w:val="28"/>
        </w:rPr>
        <w:t xml:space="preserve"> буде акцептована, ми </w:t>
      </w:r>
      <w:proofErr w:type="spellStart"/>
      <w:r>
        <w:rPr>
          <w:sz w:val="28"/>
          <w:szCs w:val="28"/>
        </w:rPr>
        <w:t>зобов’язуємося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Замовником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через 10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електроній</w:t>
      </w:r>
      <w:proofErr w:type="spellEnd"/>
      <w:r>
        <w:rPr>
          <w:sz w:val="28"/>
          <w:szCs w:val="28"/>
          <w:lang w:val="uk-UA"/>
        </w:rPr>
        <w:t xml:space="preserve"> системі закупівель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через 20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учасника-переможця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підтверджують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відсутність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підстав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передбачених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17</w:t>
      </w:r>
      <w:r>
        <w:rPr>
          <w:sz w:val="28"/>
          <w:szCs w:val="28"/>
          <w:shd w:val="clear" w:color="auto" w:fill="FFFFFF"/>
        </w:rPr>
        <w:t>Закону.</w:t>
      </w:r>
    </w:p>
    <w:p w:rsidR="006D28E0" w:rsidRDefault="006D28E0" w:rsidP="006D28E0">
      <w:pPr>
        <w:tabs>
          <w:tab w:val="left" w:pos="1080"/>
        </w:tabs>
        <w:spacing w:after="12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моменту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сторонами.</w:t>
      </w:r>
    </w:p>
    <w:p w:rsidR="006D28E0" w:rsidRDefault="006D28E0" w:rsidP="006D28E0">
      <w:pPr>
        <w:tabs>
          <w:tab w:val="left" w:pos="1080"/>
        </w:tabs>
        <w:spacing w:after="120"/>
        <w:ind w:left="-567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Посада, </w:t>
      </w:r>
      <w:proofErr w:type="spellStart"/>
      <w:proofErr w:type="gramStart"/>
      <w:r>
        <w:rPr>
          <w:i/>
          <w:iCs/>
          <w:sz w:val="28"/>
          <w:szCs w:val="28"/>
        </w:rPr>
        <w:t>пр</w:t>
      </w:r>
      <w:proofErr w:type="gramEnd"/>
      <w:r>
        <w:rPr>
          <w:i/>
          <w:iCs/>
          <w:sz w:val="28"/>
          <w:szCs w:val="28"/>
        </w:rPr>
        <w:t>ізвище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ініціали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підпис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уповноваженої</w:t>
      </w:r>
      <w:proofErr w:type="spellEnd"/>
      <w:r>
        <w:rPr>
          <w:i/>
          <w:iCs/>
          <w:sz w:val="28"/>
          <w:szCs w:val="28"/>
        </w:rPr>
        <w:t xml:space="preserve"> особи </w:t>
      </w:r>
      <w:proofErr w:type="spellStart"/>
      <w:r>
        <w:rPr>
          <w:i/>
          <w:iCs/>
          <w:sz w:val="28"/>
          <w:szCs w:val="28"/>
        </w:rPr>
        <w:t>Учасника</w:t>
      </w:r>
      <w:proofErr w:type="spellEnd"/>
      <w:r>
        <w:rPr>
          <w:i/>
          <w:iCs/>
          <w:sz w:val="28"/>
          <w:szCs w:val="28"/>
        </w:rPr>
        <w:t xml:space="preserve"> та печатка (за </w:t>
      </w:r>
      <w:proofErr w:type="spellStart"/>
      <w:r>
        <w:rPr>
          <w:i/>
          <w:iCs/>
          <w:sz w:val="28"/>
          <w:szCs w:val="28"/>
        </w:rPr>
        <w:t>наявності</w:t>
      </w:r>
      <w:proofErr w:type="spellEnd"/>
      <w:r>
        <w:rPr>
          <w:i/>
          <w:iCs/>
          <w:sz w:val="28"/>
          <w:szCs w:val="28"/>
        </w:rPr>
        <w:t>)</w:t>
      </w:r>
    </w:p>
    <w:p w:rsidR="006D28E0" w:rsidRDefault="006D28E0" w:rsidP="006D28E0">
      <w:pPr>
        <w:rPr>
          <w:lang w:val="uk-UA"/>
        </w:rPr>
      </w:pPr>
    </w:p>
    <w:p w:rsidR="006D28E0" w:rsidRDefault="006D28E0" w:rsidP="006D28E0">
      <w:pPr>
        <w:rPr>
          <w:lang w:val="uk-UA"/>
        </w:rPr>
      </w:pPr>
    </w:p>
    <w:p w:rsidR="006D28E0" w:rsidRDefault="006D28E0" w:rsidP="006D28E0">
      <w:pPr>
        <w:rPr>
          <w:lang w:val="uk-UA"/>
        </w:rPr>
      </w:pPr>
    </w:p>
    <w:p w:rsidR="006D28E0" w:rsidRDefault="006D28E0" w:rsidP="006D28E0">
      <w:pPr>
        <w:rPr>
          <w:lang w:val="uk-UA"/>
        </w:rPr>
      </w:pPr>
    </w:p>
    <w:p w:rsidR="006D28E0" w:rsidRDefault="006D28E0" w:rsidP="006D28E0">
      <w:pPr>
        <w:rPr>
          <w:lang w:val="uk-UA"/>
        </w:rPr>
      </w:pPr>
    </w:p>
    <w:p w:rsidR="006D28E0" w:rsidRDefault="006D28E0" w:rsidP="006D28E0">
      <w:pPr>
        <w:rPr>
          <w:lang w:val="uk-UA"/>
        </w:rPr>
      </w:pPr>
    </w:p>
    <w:p w:rsidR="006D28E0" w:rsidRDefault="006D28E0" w:rsidP="006D28E0">
      <w:pPr>
        <w:rPr>
          <w:lang w:val="uk-UA"/>
        </w:rPr>
      </w:pPr>
    </w:p>
    <w:p w:rsidR="009A567A" w:rsidRPr="006D28E0" w:rsidRDefault="00FE6AB6">
      <w:pPr>
        <w:rPr>
          <w:lang w:val="uk-UA"/>
        </w:rPr>
      </w:pPr>
    </w:p>
    <w:sectPr w:rsidR="009A567A" w:rsidRPr="006D28E0" w:rsidSect="00F3338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E0"/>
    <w:rsid w:val="00043C3E"/>
    <w:rsid w:val="003A1694"/>
    <w:rsid w:val="00631C65"/>
    <w:rsid w:val="006A2BD3"/>
    <w:rsid w:val="006D28E0"/>
    <w:rsid w:val="007060C5"/>
    <w:rsid w:val="007754D5"/>
    <w:rsid w:val="007F517B"/>
    <w:rsid w:val="008330C0"/>
    <w:rsid w:val="00A867EF"/>
    <w:rsid w:val="00C70E43"/>
    <w:rsid w:val="00CC1483"/>
    <w:rsid w:val="00CE337C"/>
    <w:rsid w:val="00DD0520"/>
    <w:rsid w:val="00E87C0E"/>
    <w:rsid w:val="00E94028"/>
    <w:rsid w:val="00F30221"/>
    <w:rsid w:val="00F3338B"/>
    <w:rsid w:val="00FD6155"/>
    <w:rsid w:val="00FE6AB6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2022-08-03T11:20:00Z</dcterms:created>
  <dcterms:modified xsi:type="dcterms:W3CDTF">2022-08-03T11:26:00Z</dcterms:modified>
</cp:coreProperties>
</file>