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E54" w:rsidRPr="00FB104C" w:rsidRDefault="00A03E54" w:rsidP="00A03E54">
      <w:pPr>
        <w:ind w:firstLine="709"/>
        <w:jc w:val="right"/>
      </w:pPr>
      <w:r w:rsidRPr="00FB104C">
        <w:t xml:space="preserve">Додаток № </w:t>
      </w:r>
      <w:r>
        <w:rPr>
          <w:lang w:val="uk-UA"/>
        </w:rPr>
        <w:t>2</w:t>
      </w:r>
      <w:bookmarkStart w:id="0" w:name="_GoBack"/>
      <w:bookmarkEnd w:id="0"/>
      <w:r w:rsidRPr="00FB104C">
        <w:t xml:space="preserve"> </w:t>
      </w:r>
    </w:p>
    <w:p w:rsidR="00A03E54" w:rsidRPr="00FB104C" w:rsidRDefault="00A03E54" w:rsidP="00A03E54">
      <w:pPr>
        <w:ind w:firstLine="709"/>
        <w:jc w:val="right"/>
      </w:pPr>
      <w:r w:rsidRPr="00FB104C">
        <w:t>до тендерної документації</w:t>
      </w:r>
    </w:p>
    <w:p w:rsidR="00097099" w:rsidRPr="003E5D1F" w:rsidRDefault="00097099" w:rsidP="003E5D1F">
      <w:pPr>
        <w:keepNext/>
        <w:keepLines/>
        <w:ind w:left="6237"/>
        <w:rPr>
          <w:b/>
        </w:rPr>
      </w:pPr>
    </w:p>
    <w:p w:rsidR="00FA6DDD" w:rsidRPr="00FA6DDD" w:rsidRDefault="00FA6DDD" w:rsidP="00FA6DDD">
      <w:pPr>
        <w:ind w:left="6379"/>
        <w:jc w:val="both"/>
        <w:rPr>
          <w:b/>
          <w:lang w:val="uk-UA"/>
        </w:rPr>
      </w:pPr>
    </w:p>
    <w:p w:rsidR="00097099" w:rsidRDefault="00097099" w:rsidP="00097099">
      <w:pPr>
        <w:jc w:val="center"/>
        <w:rPr>
          <w:b/>
          <w:highlight w:val="white"/>
        </w:rPr>
      </w:pPr>
      <w:r w:rsidRPr="00097099">
        <w:rPr>
          <w:b/>
          <w:sz w:val="28"/>
          <w:szCs w:val="28"/>
          <w:highlight w:val="white"/>
        </w:rPr>
        <w:t>Підстави для відмови в участі у процедурі закупівлі (для учасників</w:t>
      </w:r>
      <w:r>
        <w:rPr>
          <w:b/>
          <w:highlight w:val="white"/>
        </w:rPr>
        <w:t>)</w:t>
      </w:r>
    </w:p>
    <w:p w:rsidR="003E5D1F" w:rsidRDefault="003E5D1F" w:rsidP="00097099">
      <w:pPr>
        <w:jc w:val="center"/>
        <w:rPr>
          <w:b/>
          <w:highlight w:val="white"/>
        </w:rPr>
      </w:pPr>
    </w:p>
    <w:tbl>
      <w:tblPr>
        <w:tblW w:w="9675" w:type="dxa"/>
        <w:tblInd w:w="-204" w:type="dxa"/>
        <w:tblLayout w:type="fixed"/>
        <w:tblLook w:val="0400" w:firstRow="0" w:lastRow="0" w:firstColumn="0" w:lastColumn="0" w:noHBand="0" w:noVBand="1"/>
      </w:tblPr>
      <w:tblGrid>
        <w:gridCol w:w="645"/>
        <w:gridCol w:w="4995"/>
        <w:gridCol w:w="4035"/>
      </w:tblGrid>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7099" w:rsidRDefault="00097099" w:rsidP="00097099">
            <w:pPr>
              <w:jc w:val="center"/>
              <w:rPr>
                <w:highlight w:val="white"/>
              </w:rPr>
            </w:pPr>
            <w:r>
              <w:rPr>
                <w:b/>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7099" w:rsidRDefault="00097099" w:rsidP="00097099">
            <w:pPr>
              <w:jc w:val="center"/>
              <w:rPr>
                <w:highlight w:val="white"/>
              </w:rPr>
            </w:pPr>
            <w:r>
              <w:rPr>
                <w:b/>
                <w:highlight w:val="white"/>
              </w:rPr>
              <w:t>Підстави для відмови в участі у процедурі закупівлі</w:t>
            </w:r>
          </w:p>
          <w:p w:rsidR="00097099" w:rsidRDefault="00097099" w:rsidP="00097099">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097099" w:rsidRDefault="00097099" w:rsidP="00097099">
            <w:pPr>
              <w:jc w:val="center"/>
              <w:rPr>
                <w:b/>
                <w:highlight w:val="white"/>
              </w:rPr>
            </w:pPr>
            <w:r>
              <w:rPr>
                <w:b/>
                <w:highlight w:val="white"/>
              </w:rPr>
              <w:t>Спосіб підтвердження</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highlight w:val="white"/>
              </w:rPr>
              <w:t>в будь</w:t>
            </w:r>
            <w:proofErr w:type="gramEnd"/>
            <w:r>
              <w:rPr>
                <w:highlight w:val="white"/>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замовник не вимагає підтвердження відсутності підстави для відмови в участі у процедурі закупівлі</w:t>
            </w:r>
          </w:p>
          <w:p w:rsidR="00097099" w:rsidRDefault="00097099" w:rsidP="00097099">
            <w:pPr>
              <w:spacing w:before="120" w:after="240"/>
              <w:ind w:left="141" w:right="178"/>
              <w:jc w:val="both"/>
              <w:rPr>
                <w:highlight w:val="white"/>
              </w:rPr>
            </w:pP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r>
                <w:rPr>
                  <w:highlight w:val="white"/>
                </w:rPr>
                <w:t>пунктом 1 статті 50</w:t>
              </w:r>
            </w:hyperlink>
            <w:r>
              <w:rPr>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highlight w:val="white"/>
              </w:rPr>
              <w:lastRenderedPageBreak/>
              <w:t>знято або не погашено у встановленому законом порядку (пункт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w:t>
            </w:r>
            <w:r>
              <w:rPr>
                <w:highlight w:val="white"/>
              </w:rPr>
              <w:lastRenderedPageBreak/>
              <w:t>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замовник не вимагає підтвердження відсутності підстави для відмови в участі у процедурі закупівлі</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w:t>
            </w:r>
            <w:r>
              <w:rPr>
                <w:highlight w:val="white"/>
              </w:rPr>
              <w:lastRenderedPageBreak/>
              <w:t>за лотом) (пункт 10 частини 1 статті 17 Закону)</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lastRenderedPageBreak/>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spacing w:before="120" w:after="240"/>
              <w:ind w:left="141" w:right="178"/>
              <w:jc w:val="both"/>
              <w:rPr>
                <w:highlight w:val="white"/>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highlight w:val="white"/>
              </w:rPr>
              <w:t>у порядку</w:t>
            </w:r>
            <w:proofErr w:type="gramEnd"/>
            <w:r>
              <w:rPr>
                <w:highlight w:val="white"/>
              </w:rPr>
              <w:t xml:space="preserve"> та на умовах, визначених законодавством країни реєстрації такого учасника (пункт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spacing w:after="240"/>
              <w:jc w:val="both"/>
              <w:rPr>
                <w:highlight w:val="white"/>
              </w:rPr>
            </w:pPr>
            <w:r>
              <w:rPr>
                <w:highlight w:val="white"/>
              </w:rPr>
              <w:t xml:space="preserve">Замовник не вимагає підтвердження відповідно </w:t>
            </w:r>
            <w:proofErr w:type="gramStart"/>
            <w:r>
              <w:rPr>
                <w:highlight w:val="white"/>
              </w:rPr>
              <w:t>до пункту</w:t>
            </w:r>
            <w:proofErr w:type="gramEnd"/>
            <w:r>
              <w:rPr>
                <w:highlight w:val="white"/>
              </w:rPr>
              <w:t xml:space="preserve"> 44 Особливостей.</w:t>
            </w:r>
          </w:p>
        </w:tc>
      </w:tr>
      <w:tr w:rsidR="00097099"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shd w:val="clear" w:color="auto" w:fill="FFFFFF"/>
              <w:jc w:val="both"/>
              <w:rPr>
                <w:highlight w:val="white"/>
              </w:rPr>
            </w:pPr>
            <w:r>
              <w:rPr>
                <w:highlight w:val="white"/>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97099" w:rsidRDefault="00097099" w:rsidP="00097099">
            <w:pPr>
              <w:shd w:val="clear" w:color="auto" w:fill="FFFFFF"/>
              <w:spacing w:after="150"/>
              <w:jc w:val="both"/>
              <w:rPr>
                <w:highlight w:val="white"/>
              </w:rPr>
            </w:pPr>
            <w:r>
              <w:rPr>
                <w:highlight w:val="white"/>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w:t>
            </w:r>
            <w:r>
              <w:rPr>
                <w:highlight w:val="white"/>
              </w:rPr>
              <w:lastRenderedPageBreak/>
              <w:t>статті 17 Закону)</w:t>
            </w:r>
          </w:p>
          <w:p w:rsidR="00097099" w:rsidRDefault="00097099" w:rsidP="00097099">
            <w:pPr>
              <w:shd w:val="clear" w:color="auto" w:fill="FFFFFF"/>
              <w:jc w:val="both"/>
              <w:rPr>
                <w:highlight w:val="white"/>
              </w:rPr>
            </w:pPr>
            <w:r>
              <w:rPr>
                <w:highlight w:val="white"/>
              </w:rPr>
              <w:t>Якщо замовник вважає таке підтвердження достатнім, учаснику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097099" w:rsidRDefault="00097099" w:rsidP="00097099">
            <w:pPr>
              <w:jc w:val="both"/>
              <w:rPr>
                <w:highlight w:val="white"/>
              </w:rPr>
            </w:pPr>
            <w:r>
              <w:rPr>
                <w:highlight w:val="white"/>
              </w:rPr>
              <w:lastRenderedPageBreak/>
              <w:t>Відповідно до п. 44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цьому пункті, крім самостійного декларування відсутності таких підстав учасником процедури закупівлі.</w:t>
            </w:r>
          </w:p>
          <w:p w:rsidR="00097099" w:rsidRDefault="00097099" w:rsidP="00097099">
            <w:pPr>
              <w:jc w:val="both"/>
              <w:rPr>
                <w:color w:val="333333"/>
                <w:highlight w:val="white"/>
              </w:rPr>
            </w:pPr>
            <w:r>
              <w:rPr>
                <w:highlight w:val="white"/>
              </w:rPr>
              <w:t>В зв'язку з відсутністю технічної можливості самостійного декларування при поданні пропозиції, замовник не вимагає підтвердження учасником відсутності підстави.</w:t>
            </w:r>
            <w:r>
              <w:rPr>
                <w:color w:val="333333"/>
                <w:highlight w:val="white"/>
              </w:rPr>
              <w:t xml:space="preserve"> </w:t>
            </w:r>
          </w:p>
        </w:tc>
      </w:tr>
    </w:tbl>
    <w:p w:rsidR="00097099" w:rsidRPr="00097099" w:rsidRDefault="00097099" w:rsidP="00097099">
      <w:pPr>
        <w:rPr>
          <w:b/>
          <w:highlight w:val="white"/>
          <w:lang w:val="uk-UA"/>
        </w:rPr>
      </w:pPr>
    </w:p>
    <w:p w:rsidR="00097099" w:rsidRPr="00097099" w:rsidRDefault="00097099" w:rsidP="00097099">
      <w:pPr>
        <w:jc w:val="center"/>
        <w:rPr>
          <w:b/>
          <w:sz w:val="28"/>
          <w:szCs w:val="28"/>
          <w:highlight w:val="white"/>
        </w:rPr>
      </w:pPr>
    </w:p>
    <w:p w:rsidR="00097099" w:rsidRDefault="00097099" w:rsidP="00097099">
      <w:pPr>
        <w:jc w:val="center"/>
        <w:rPr>
          <w:b/>
          <w:sz w:val="28"/>
          <w:szCs w:val="28"/>
          <w:highlight w:val="white"/>
        </w:rPr>
      </w:pPr>
      <w:r w:rsidRPr="00097099">
        <w:rPr>
          <w:b/>
          <w:sz w:val="28"/>
          <w:szCs w:val="28"/>
          <w:highlight w:val="white"/>
        </w:rPr>
        <w:t>Підстави для відмови в участі у процедурі закупівлі (для переможців)</w:t>
      </w:r>
    </w:p>
    <w:p w:rsidR="003E5D1F" w:rsidRPr="00097099" w:rsidRDefault="003E5D1F" w:rsidP="00097099">
      <w:pPr>
        <w:jc w:val="center"/>
        <w:rPr>
          <w:b/>
          <w:sz w:val="28"/>
          <w:szCs w:val="28"/>
          <w:highlight w:val="white"/>
        </w:rPr>
      </w:pPr>
    </w:p>
    <w:tbl>
      <w:tblPr>
        <w:tblW w:w="9600" w:type="dxa"/>
        <w:tblInd w:w="-174" w:type="dxa"/>
        <w:tblLayout w:type="fixed"/>
        <w:tblLook w:val="0400" w:firstRow="0" w:lastRow="0" w:firstColumn="0" w:lastColumn="0" w:noHBand="0" w:noVBand="1"/>
      </w:tblPr>
      <w:tblGrid>
        <w:gridCol w:w="570"/>
        <w:gridCol w:w="3915"/>
        <w:gridCol w:w="5115"/>
      </w:tblGrid>
      <w:tr w:rsidR="00097099" w:rsidTr="00097099">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7099" w:rsidRDefault="00097099" w:rsidP="00097099">
            <w:pPr>
              <w:jc w:val="center"/>
              <w:rPr>
                <w:highlight w:val="white"/>
              </w:rPr>
            </w:pPr>
            <w:r>
              <w:rPr>
                <w:b/>
                <w:highlight w:val="white"/>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7099" w:rsidRDefault="00097099" w:rsidP="00097099">
            <w:pPr>
              <w:jc w:val="center"/>
              <w:rPr>
                <w:highlight w:val="white"/>
              </w:rPr>
            </w:pPr>
            <w:r>
              <w:rPr>
                <w:b/>
                <w:highlight w:val="white"/>
              </w:rPr>
              <w:t>Підстави для відмови в участі у процедурі закупівлі</w:t>
            </w:r>
          </w:p>
          <w:p w:rsidR="00097099" w:rsidRDefault="00097099" w:rsidP="00097099">
            <w:pPr>
              <w:rPr>
                <w:highlight w:val="white"/>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097099" w:rsidRDefault="00097099" w:rsidP="00097099">
            <w:pPr>
              <w:jc w:val="center"/>
              <w:rPr>
                <w:b/>
                <w:highlight w:val="white"/>
              </w:rPr>
            </w:pPr>
            <w:r>
              <w:rPr>
                <w:b/>
                <w:highlight w:val="white"/>
              </w:rPr>
              <w:t>Спосіб підтвердження*</w:t>
            </w:r>
          </w:p>
          <w:p w:rsidR="00097099" w:rsidRDefault="00097099" w:rsidP="00097099">
            <w:pPr>
              <w:jc w:val="center"/>
              <w:rPr>
                <w:b/>
                <w:highlight w:val="white"/>
              </w:rPr>
            </w:pPr>
          </w:p>
        </w:tc>
      </w:tr>
      <w:tr w:rsidR="00097099" w:rsidTr="00097099">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Pr="00FA6DDD" w:rsidRDefault="00FA6DDD" w:rsidP="00097099">
            <w:pPr>
              <w:jc w:val="both"/>
              <w:rPr>
                <w:highlight w:val="white"/>
                <w:lang w:val="uk-UA"/>
              </w:rPr>
            </w:pPr>
            <w:r>
              <w:rPr>
                <w:highlight w:val="white"/>
                <w:lang w:val="uk-UA"/>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rPr>
                <w:highlight w:val="white"/>
              </w:rPr>
            </w:pPr>
            <w:r w:rsidRPr="00CA473C">
              <w:rPr>
                <w:highlight w:val="white"/>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A6DDD">
              <w:rPr>
                <w:b/>
                <w:highlight w:val="white"/>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 xml:space="preserve">Переможець процедури закупівлі має надати витяг або довідку з Єдиного державного реєстру осіб, які вчинили корупційні </w:t>
            </w:r>
            <w:proofErr w:type="gramStart"/>
            <w:r>
              <w:rPr>
                <w:highlight w:val="white"/>
              </w:rPr>
              <w:t>правопорушення  про</w:t>
            </w:r>
            <w:proofErr w:type="gramEnd"/>
            <w:r>
              <w:rPr>
                <w:highlight w:val="white"/>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97099" w:rsidTr="00097099">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Pr="00FA6DDD" w:rsidRDefault="00FA6DDD" w:rsidP="00097099">
            <w:pPr>
              <w:jc w:val="both"/>
              <w:rPr>
                <w:highlight w:val="white"/>
                <w:lang w:val="uk-UA"/>
              </w:rPr>
            </w:pPr>
            <w:r>
              <w:rPr>
                <w:highlight w:val="white"/>
                <w:lang w:val="uk-UA"/>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A6DDD">
              <w:rPr>
                <w:b/>
                <w:highlight w:val="white"/>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097099" w:rsidTr="00097099">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Pr="00FA6DDD" w:rsidRDefault="00FA6DDD" w:rsidP="00097099">
            <w:pPr>
              <w:jc w:val="both"/>
              <w:rPr>
                <w:highlight w:val="white"/>
                <w:lang w:val="uk-UA"/>
              </w:rPr>
            </w:pPr>
            <w:r>
              <w:rPr>
                <w:highlight w:val="white"/>
                <w:lang w:val="uk-UA"/>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A6DDD">
              <w:rPr>
                <w:b/>
                <w:highlight w:val="white"/>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097099" w:rsidTr="00097099">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Pr="00FA6DDD" w:rsidRDefault="00FA6DDD" w:rsidP="00097099">
            <w:pPr>
              <w:jc w:val="both"/>
              <w:rPr>
                <w:highlight w:val="white"/>
                <w:lang w:val="uk-UA"/>
              </w:rPr>
            </w:pPr>
            <w:r>
              <w:rPr>
                <w:highlight w:val="white"/>
                <w:lang w:val="uk-UA"/>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 xml:space="preserve">службова (посадова) особа учасника процедури закупівлі, яку </w:t>
            </w:r>
            <w:r>
              <w:rPr>
                <w:highlight w:val="white"/>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A6DDD">
              <w:rPr>
                <w:b/>
                <w:highlight w:val="white"/>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lastRenderedPageBreak/>
              <w:t xml:space="preserve">Переможець процедури закупівлі має надати повний витяг з інформаційно-аналітичної </w:t>
            </w:r>
            <w:r>
              <w:rPr>
                <w:highlight w:val="white"/>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30 днів до дати оприлюднення оголошення про закупівлю.</w:t>
            </w:r>
          </w:p>
        </w:tc>
      </w:tr>
      <w:tr w:rsidR="00097099" w:rsidTr="00097099">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Pr="00FA6DDD" w:rsidRDefault="00FA6DDD" w:rsidP="00097099">
            <w:pPr>
              <w:jc w:val="both"/>
              <w:rPr>
                <w:highlight w:val="white"/>
                <w:lang w:val="uk-UA"/>
              </w:rPr>
            </w:pPr>
            <w:r>
              <w:rPr>
                <w:highlight w:val="white"/>
                <w:lang w:val="uk-UA"/>
              </w:rPr>
              <w:lastRenderedPageBreak/>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shd w:val="clear" w:color="auto" w:fill="FFFFFF"/>
              <w:jc w:val="both"/>
              <w:rPr>
                <w:highlight w:val="white"/>
              </w:rPr>
            </w:pPr>
            <w:r>
              <w:rPr>
                <w:highlight w:val="white"/>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97099" w:rsidRDefault="00097099" w:rsidP="00097099">
            <w:pPr>
              <w:shd w:val="clear" w:color="auto" w:fill="FFFFFF"/>
              <w:spacing w:after="150"/>
              <w:jc w:val="both"/>
              <w:rPr>
                <w:highlight w:val="white"/>
              </w:rPr>
            </w:pPr>
            <w:r>
              <w:rPr>
                <w:highlight w:val="white"/>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FA6DDD">
              <w:rPr>
                <w:b/>
                <w:highlight w:val="white"/>
              </w:rPr>
              <w:t>(частина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7099" w:rsidRDefault="00097099" w:rsidP="00097099">
            <w:pPr>
              <w:jc w:val="both"/>
              <w:rPr>
                <w:highlight w:val="white"/>
              </w:rPr>
            </w:pPr>
            <w:r>
              <w:rPr>
                <w:highlight w:val="white"/>
              </w:rPr>
              <w:t xml:space="preserve">Переможець надає довідку в довільній формі про те, що між ним і замовником не було укладено договору про закупівлю, за </w:t>
            </w:r>
            <w:proofErr w:type="gramStart"/>
            <w:r>
              <w:rPr>
                <w:highlight w:val="white"/>
              </w:rPr>
              <w:t>яким  переможець</w:t>
            </w:r>
            <w:proofErr w:type="gramEnd"/>
            <w:r>
              <w:rPr>
                <w:highlight w:val="white"/>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7099" w:rsidRDefault="00097099" w:rsidP="00097099">
            <w:pPr>
              <w:rPr>
                <w:highlight w:val="white"/>
              </w:rPr>
            </w:pPr>
          </w:p>
          <w:p w:rsidR="00097099" w:rsidRDefault="00097099" w:rsidP="00097099">
            <w:pPr>
              <w:jc w:val="both"/>
              <w:rPr>
                <w:highlight w:val="white"/>
              </w:rPr>
            </w:pPr>
            <w:r>
              <w:rPr>
                <w:highlight w:val="white"/>
              </w:rPr>
              <w:t>або</w:t>
            </w:r>
          </w:p>
          <w:p w:rsidR="00097099" w:rsidRDefault="00097099" w:rsidP="00097099">
            <w:pPr>
              <w:rPr>
                <w:highlight w:val="white"/>
              </w:rPr>
            </w:pPr>
          </w:p>
          <w:p w:rsidR="00097099" w:rsidRDefault="00097099" w:rsidP="00097099">
            <w:pPr>
              <w:jc w:val="both"/>
              <w:rPr>
                <w:highlight w:val="white"/>
              </w:rPr>
            </w:pPr>
            <w:r>
              <w:rPr>
                <w:highlight w:val="white"/>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97099" w:rsidRDefault="00097099" w:rsidP="00097099">
      <w:pPr>
        <w:jc w:val="both"/>
        <w:rPr>
          <w:highlight w:val="white"/>
        </w:rPr>
      </w:pPr>
      <w:r>
        <w:t xml:space="preserve">* </w:t>
      </w:r>
      <w:r>
        <w:rPr>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00FA6DDD" w:rsidRPr="001E7308">
        <w:rPr>
          <w:b/>
          <w:bCs/>
          <w:color w:val="000000"/>
          <w:sz w:val="22"/>
          <w:szCs w:val="22"/>
          <w:lang w:val="uk-UA"/>
        </w:rPr>
        <w:t>, визначених пунктами 3, 5, 6 і 12 частини першої та частиною другою статті 17 Закону</w:t>
      </w:r>
      <w:r>
        <w:rPr>
          <w:highlight w:val="white"/>
        </w:rPr>
        <w:t xml:space="preserve"> для відмови в участі </w:t>
      </w:r>
      <w:r>
        <w:t>у процедурі закупівлі.</w:t>
      </w:r>
    </w:p>
    <w:p w:rsidR="00097099" w:rsidRDefault="00097099" w:rsidP="00097099">
      <w:pPr>
        <w:jc w:val="both"/>
      </w:pPr>
      <w: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w:t>
      </w:r>
      <w:r>
        <w:lastRenderedPageBreak/>
        <w:t>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7099" w:rsidRDefault="00097099" w:rsidP="00097099">
      <w:pPr>
        <w:jc w:val="both"/>
      </w:pPr>
    </w:p>
    <w:p w:rsidR="00097099" w:rsidRDefault="00097099" w:rsidP="00097099">
      <w:pPr>
        <w:rPr>
          <w:b/>
        </w:rPr>
      </w:pPr>
    </w:p>
    <w:p w:rsidR="0007387C" w:rsidRPr="00533B75" w:rsidRDefault="0007387C" w:rsidP="00533B75"/>
    <w:sectPr w:rsidR="0007387C" w:rsidRPr="00533B75" w:rsidSect="00AC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font>
  <w:font w:name="Liberation Serif">
    <w:altName w:val="Times New Roman"/>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15:restartNumberingAfterBreak="0">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15:restartNumberingAfterBreak="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15:restartNumberingAfterBreak="0">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15:restartNumberingAfterBreak="0">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B0438"/>
    <w:rsid w:val="0007387C"/>
    <w:rsid w:val="00097099"/>
    <w:rsid w:val="000B0438"/>
    <w:rsid w:val="001171FD"/>
    <w:rsid w:val="00122039"/>
    <w:rsid w:val="00214AB1"/>
    <w:rsid w:val="002639C3"/>
    <w:rsid w:val="00392A8E"/>
    <w:rsid w:val="003E5D1F"/>
    <w:rsid w:val="003F6AD2"/>
    <w:rsid w:val="00513E89"/>
    <w:rsid w:val="00533B75"/>
    <w:rsid w:val="00887523"/>
    <w:rsid w:val="008B21AB"/>
    <w:rsid w:val="00981A7B"/>
    <w:rsid w:val="009D3F04"/>
    <w:rsid w:val="009E5997"/>
    <w:rsid w:val="00A03E54"/>
    <w:rsid w:val="00A4593C"/>
    <w:rsid w:val="00A47F34"/>
    <w:rsid w:val="00AC5FC8"/>
    <w:rsid w:val="00C1660A"/>
    <w:rsid w:val="00CA473C"/>
    <w:rsid w:val="00E41ABA"/>
    <w:rsid w:val="00E46B7B"/>
    <w:rsid w:val="00E95F1A"/>
    <w:rsid w:val="00FA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2503"/>
  <w15:docId w15:val="{B9F698B5-681F-4425-AC51-C43A115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ascii="Calibri" w:eastAsia="Calibri" w:hAnsi="Calibri"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cs="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afff8"/>
    <w:uiPriority w:val="10"/>
    <w:qFormat/>
    <w:rsid w:val="00E41ABA"/>
    <w:pPr>
      <w:contextualSpacing/>
    </w:pPr>
    <w:rPr>
      <w:rFonts w:ascii="Calibri Light" w:hAnsi="Calibri Light"/>
      <w:spacing w:val="-10"/>
      <w:kern w:val="28"/>
      <w:sz w:val="56"/>
      <w:szCs w:val="56"/>
    </w:rPr>
  </w:style>
  <w:style w:type="character" w:customStyle="1" w:styleId="afff8">
    <w:name w:val="Заголовок Знак"/>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9">
    <w:name w:val="Основной текст (2)_"/>
    <w:link w:val="212"/>
    <w:uiPriority w:val="99"/>
    <w:locked/>
    <w:rsid w:val="00E41ABA"/>
    <w:rPr>
      <w:shd w:val="clear" w:color="auto" w:fill="FFFFFF"/>
    </w:rPr>
  </w:style>
  <w:style w:type="paragraph" w:customStyle="1" w:styleId="212">
    <w:name w:val="Основной текст (2)1"/>
    <w:basedOn w:val="a"/>
    <w:link w:val="29"/>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9341</Words>
  <Characters>5325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2022-09-21T08:46:00Z</cp:lastPrinted>
  <dcterms:created xsi:type="dcterms:W3CDTF">2023-02-24T11:53:00Z</dcterms:created>
  <dcterms:modified xsi:type="dcterms:W3CDTF">2023-03-03T11:50:00Z</dcterms:modified>
</cp:coreProperties>
</file>