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lang w:val="uk-UA"/>
        </w:rPr>
      </w:pPr>
      <w:r>
        <w:rPr>
          <w:i/>
          <w:lang w:val="uk-UA"/>
        </w:rPr>
        <w:t xml:space="preserve">                                                                                                                                                                    </w:t>
      </w:r>
      <w:r>
        <w:rPr>
          <w:b/>
          <w:lang w:val="uk-UA"/>
        </w:rPr>
        <w:t>Додаок №2</w:t>
      </w:r>
    </w:p>
    <w:p>
      <w:pPr>
        <w:tabs>
          <w:tab w:val="left" w:pos="2685"/>
        </w:tabs>
        <w:rPr>
          <w:b/>
          <w:lang w:val="uk-UA"/>
        </w:rPr>
      </w:pPr>
      <w:r>
        <w:rPr>
          <w:b/>
          <w:lang w:val="uk-UA"/>
        </w:rPr>
        <w:tab/>
      </w:r>
    </w:p>
    <w:p>
      <w:pPr>
        <w:rPr>
          <w:b/>
          <w:lang w:val="uk-UA"/>
        </w:rPr>
      </w:pPr>
      <w:r>
        <w:rPr>
          <w:b/>
          <w:lang w:val="uk-UA"/>
        </w:rPr>
        <w:t>Інформація про необхідні технічні, якісні та кількісні характеристики предмета закупівлі - технічні вимоги до предмета закупівлі</w:t>
      </w:r>
    </w:p>
    <w:p>
      <w:pPr>
        <w:rPr>
          <w:b/>
          <w:lang w:val="uk-UA"/>
        </w:rPr>
      </w:pPr>
      <w:r>
        <w:rPr>
          <w:b/>
          <w:lang w:val="uk-UA"/>
        </w:rPr>
        <w:t>ТЕХНІЧНА СПЕЦИФІКАЦІЯ</w:t>
      </w:r>
    </w:p>
    <w:p>
      <w:pPr>
        <w:rPr>
          <w:b/>
          <w:lang w:val="uk-UA"/>
        </w:rPr>
      </w:pPr>
      <w:r>
        <w:rPr>
          <w:b/>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rPr>
          <w:b/>
          <w:lang w:val="uk-UA"/>
        </w:rPr>
      </w:pPr>
    </w:p>
    <w:p>
      <w:pPr>
        <w:rPr>
          <w:b/>
          <w:lang w:val="uk-UA"/>
        </w:rPr>
      </w:pPr>
      <w:r>
        <w:rPr>
          <w:b/>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rPr>
          <w:b/>
          <w:lang w:val="uk-UA"/>
        </w:rPr>
      </w:pPr>
      <w:r>
        <w:rPr>
          <w:b/>
          <w:lang w:val="uk-UA"/>
        </w:rPr>
        <w:t>Обґрунтування необхідності закупівлі даного виду товару із посиланням на марку конкретного виробника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rPr>
          <w:b/>
          <w:lang w:val="uk-UA"/>
        </w:rPr>
      </w:pPr>
    </w:p>
    <w:p>
      <w:pPr>
        <w:rPr>
          <w:b/>
          <w:lang w:val="uk-UA"/>
        </w:rPr>
      </w:pPr>
    </w:p>
    <w:p>
      <w:pPr>
        <w:rPr>
          <w:b/>
          <w:lang w:val="uk-UA"/>
        </w:rPr>
      </w:pPr>
      <w:r>
        <w:rPr>
          <w:b/>
          <w:lang w:val="uk-UA"/>
        </w:rPr>
        <w:t>Загальні вимоги:</w:t>
      </w:r>
    </w:p>
    <w:p>
      <w:pPr>
        <w:rPr>
          <w:b/>
          <w:lang w:val="uk-UA"/>
        </w:rPr>
      </w:pPr>
      <w:r>
        <w:rPr>
          <w:b/>
          <w:lang w:val="uk-UA"/>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pPr>
        <w:rPr>
          <w:b/>
          <w:lang w:val="uk-UA"/>
        </w:rPr>
      </w:pPr>
      <w:r>
        <w:rPr>
          <w:b/>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в якому міститься ця інформація, з наданням копії документів.</w:t>
      </w:r>
    </w:p>
    <w:p>
      <w:pPr>
        <w:rPr>
          <w:b/>
          <w:lang w:val="uk-UA"/>
        </w:rPr>
      </w:pPr>
      <w:r>
        <w:rPr>
          <w:b/>
          <w:lang w:val="uk-UA"/>
        </w:rPr>
        <w:t xml:space="preserve"> 2. Товар, запропонований Учасником, повинен бути новим і таким, що не був у використанні та гарантійний термін (строк) експлуатації на кожний вид обладнання вказаний в медико-технічних вимогах..</w:t>
      </w:r>
    </w:p>
    <w:p>
      <w:pPr>
        <w:rPr>
          <w:b/>
          <w:lang w:val="uk-UA"/>
        </w:rPr>
      </w:pPr>
      <w:r>
        <w:rPr>
          <w:b/>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відповідає медико-технічним вимогам зазначених в тендерній Документації.</w:t>
      </w:r>
    </w:p>
    <w:p>
      <w:pPr>
        <w:rPr>
          <w:b/>
          <w:lang w:val="uk-UA"/>
        </w:rPr>
      </w:pPr>
      <w:r>
        <w:rPr>
          <w:b/>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pPr>
        <w:rPr>
          <w:b/>
          <w:lang w:val="uk-UA"/>
        </w:rPr>
      </w:pPr>
      <w:r>
        <w:rPr>
          <w:b/>
          <w:lang w:val="uk-UA"/>
        </w:rPr>
        <w:t>На підтвердження Учасник повинен надати гарантійний лист,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pPr>
        <w:rPr>
          <w:b/>
          <w:lang w:val="uk-UA"/>
        </w:rPr>
      </w:pPr>
      <w:r>
        <w:rPr>
          <w:b/>
          <w:lang w:val="uk-UA"/>
        </w:rPr>
        <w:t xml:space="preserve">4. Учасник надає лист, що підтверджує зобов'язання виробника чи його офіційного представника (дилера, дистриб'ютора тощо) щодо гарантійного обслуговування Товару, який є предметом закупівлі,  термін гарантійного обслуговування вказаний в медико-технічних вимогах до товару. </w:t>
      </w:r>
    </w:p>
    <w:p>
      <w:pPr>
        <w:rPr>
          <w:b/>
          <w:lang w:val="uk-UA"/>
        </w:rPr>
      </w:pPr>
    </w:p>
    <w:p>
      <w:pPr>
        <w:rPr>
          <w:b/>
          <w:lang w:val="uk-UA"/>
        </w:rPr>
      </w:pPr>
      <w:r>
        <w:rPr>
          <w:b/>
          <w:lang w:val="uk-UA"/>
        </w:rPr>
        <w:t xml:space="preserve">5.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документів наведених нижче </w:t>
      </w:r>
    </w:p>
    <w:p>
      <w:pPr>
        <w:rPr>
          <w:b/>
          <w:lang w:val="uk-UA"/>
        </w:rPr>
      </w:pPr>
      <w:r>
        <w:rPr>
          <w:b/>
          <w:lang w:val="uk-UA"/>
        </w:rPr>
        <w:t>-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rPr>
          <w:b/>
          <w:lang w:val="uk-UA"/>
        </w:rPr>
      </w:pPr>
      <w:r>
        <w:rPr>
          <w:b/>
          <w:lang w:val="uk-UA"/>
        </w:rPr>
        <w:t>- завірену копію сертифікату відповідності медичного виробу за результатами проходження процедури оцінки відповідності згідно вимог технічного регламенту.</w:t>
      </w:r>
    </w:p>
    <w:p>
      <w:pPr>
        <w:rPr>
          <w:b/>
          <w:lang w:val="uk-UA"/>
        </w:rPr>
      </w:pPr>
      <w:r>
        <w:rPr>
          <w:b/>
          <w:lang w:val="uk-UA"/>
        </w:rPr>
        <w:t>6.Поставка товару, монтаж, введення обладнання в експлуатацію на місці монтажу та навчання обслуговуючого персоналу на базі Замовника буде здійснюватися за рахунок Учасника</w:t>
      </w:r>
    </w:p>
    <w:p>
      <w:pPr>
        <w:rPr>
          <w:b/>
          <w:lang w:val="uk-UA"/>
        </w:rPr>
      </w:pPr>
      <w:r>
        <w:rPr>
          <w:b/>
          <w:lang w:val="uk-UA"/>
        </w:rPr>
        <w:t xml:space="preserve">На підтвердження Учасник повинен надати  гарантійний лист у довільний формі </w:t>
      </w:r>
    </w:p>
    <w:p>
      <w:pPr>
        <w:rPr>
          <w:b/>
          <w:lang w:val="uk-UA"/>
        </w:rPr>
      </w:pPr>
      <w:r>
        <w:rPr>
          <w:b/>
          <w:lang w:val="uk-UA"/>
        </w:rPr>
        <w:t>7. Упаковка Товару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Замовнику.</w:t>
      </w:r>
    </w:p>
    <w:p>
      <w:pPr>
        <w:rPr>
          <w:b/>
          <w:lang w:val="uk-UA"/>
        </w:rPr>
      </w:pPr>
      <w:r>
        <w:rPr>
          <w:b/>
          <w:lang w:val="uk-UA"/>
        </w:rPr>
        <w:t>8.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pPr>
        <w:rPr>
          <w:b/>
          <w:lang w:val="uk-UA"/>
        </w:rPr>
      </w:pPr>
      <w:r>
        <w:rPr>
          <w:b/>
          <w:lang w:val="uk-UA"/>
        </w:rPr>
        <w:t xml:space="preserve">9. Оголошена кількість товару – це разова поставка, яку необхідно поставити  </w:t>
      </w:r>
      <w:r>
        <w:rPr>
          <w:b/>
          <w:highlight w:val="yellow"/>
          <w:lang w:val="uk-UA"/>
        </w:rPr>
        <w:t xml:space="preserve">до </w:t>
      </w:r>
      <w:r>
        <w:rPr>
          <w:rFonts w:hint="default"/>
          <w:b/>
          <w:highlight w:val="yellow"/>
          <w:lang w:val="uk-UA"/>
        </w:rPr>
        <w:t>15</w:t>
      </w:r>
      <w:r>
        <w:rPr>
          <w:b/>
          <w:highlight w:val="yellow"/>
          <w:lang w:val="uk-UA"/>
        </w:rPr>
        <w:t>.</w:t>
      </w:r>
      <w:r>
        <w:rPr>
          <w:rFonts w:hint="default"/>
          <w:b/>
          <w:highlight w:val="yellow"/>
          <w:lang w:val="uk-UA"/>
        </w:rPr>
        <w:t>11</w:t>
      </w:r>
      <w:r>
        <w:rPr>
          <w:b/>
          <w:highlight w:val="yellow"/>
          <w:lang w:val="uk-UA"/>
        </w:rPr>
        <w:t>.202</w:t>
      </w:r>
      <w:r>
        <w:rPr>
          <w:rFonts w:hint="default"/>
          <w:b/>
          <w:highlight w:val="yellow"/>
          <w:lang w:val="uk-UA"/>
        </w:rPr>
        <w:t>2</w:t>
      </w:r>
      <w:r>
        <w:rPr>
          <w:b/>
          <w:highlight w:val="yellow"/>
          <w:lang w:val="uk-UA"/>
        </w:rPr>
        <w:t xml:space="preserve"> року.</w:t>
      </w:r>
    </w:p>
    <w:p>
      <w:pPr>
        <w:rPr>
          <w:b/>
          <w:lang w:val="uk-UA"/>
        </w:rPr>
      </w:pPr>
      <w:r>
        <w:rPr>
          <w:b/>
          <w:lang w:val="uk-UA"/>
        </w:rPr>
        <w:t xml:space="preserve"> 10. В складі пропозиції учасники надають заповнену таблицю (у вигляді наведеному в цьому додатку)  відповідності запропонованих товарів вимогам цього додатку</w:t>
      </w:r>
    </w:p>
    <w:p>
      <w:pPr>
        <w:rPr>
          <w:b/>
          <w:bCs/>
          <w:lang w:val="uk-UA"/>
        </w:rPr>
      </w:pPr>
    </w:p>
    <w:p>
      <w:pPr>
        <w:rPr>
          <w:b/>
          <w:bCs/>
          <w:lang w:val="uk-UA"/>
        </w:rPr>
      </w:pPr>
    </w:p>
    <w:p>
      <w:pPr>
        <w:rPr>
          <w:bCs/>
          <w:lang w:val="uk-UA"/>
        </w:rPr>
      </w:pPr>
      <w:r>
        <w:rPr>
          <w:b/>
          <w:bCs/>
          <w:lang w:val="uk-UA"/>
        </w:rPr>
        <w:t>Предмет закупівлі</w:t>
      </w:r>
      <w:r>
        <w:rPr>
          <w:lang w:val="uk-UA"/>
        </w:rPr>
        <w:t xml:space="preserve">    Класифікація Код за ДК 021:2015 – 31120000-3 Генератори (бензиновий генератор)</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719"/>
        <w:gridCol w:w="554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200" w:line="276" w:lineRule="auto"/>
              <w:rPr>
                <w:bCs/>
                <w:lang w:val="uk-UA"/>
              </w:rPr>
            </w:pPr>
            <w:r>
              <w:rPr>
                <w:bCs/>
                <w:lang w:val="uk-UA"/>
              </w:rPr>
              <w:t>№ п/п</w:t>
            </w:r>
          </w:p>
        </w:tc>
        <w:tc>
          <w:tcPr>
            <w:tcW w:w="1843" w:type="dxa"/>
          </w:tcPr>
          <w:p>
            <w:pPr>
              <w:spacing w:after="200" w:line="276" w:lineRule="auto"/>
              <w:rPr>
                <w:bCs/>
                <w:lang w:val="uk-UA"/>
              </w:rPr>
            </w:pPr>
            <w:r>
              <w:rPr>
                <w:bCs/>
                <w:lang w:val="uk-UA"/>
              </w:rPr>
              <w:t>Назва</w:t>
            </w:r>
          </w:p>
        </w:tc>
        <w:tc>
          <w:tcPr>
            <w:tcW w:w="6379" w:type="dxa"/>
          </w:tcPr>
          <w:p>
            <w:pPr>
              <w:spacing w:after="200" w:line="276" w:lineRule="auto"/>
              <w:rPr>
                <w:bCs/>
                <w:lang w:val="uk-UA"/>
              </w:rPr>
            </w:pPr>
            <w:r>
              <w:rPr>
                <w:bCs/>
                <w:lang w:val="uk-UA"/>
              </w:rPr>
              <w:t>Опис та характеристики</w:t>
            </w:r>
          </w:p>
        </w:tc>
        <w:tc>
          <w:tcPr>
            <w:tcW w:w="1807" w:type="dxa"/>
          </w:tcPr>
          <w:p>
            <w:pPr>
              <w:spacing w:after="200" w:line="276" w:lineRule="auto"/>
              <w:rPr>
                <w:bCs/>
                <w:lang w:val="uk-UA"/>
              </w:rPr>
            </w:pPr>
            <w:r>
              <w:rPr>
                <w:bCs/>
                <w:lang w:val="uk-UA"/>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675" w:type="dxa"/>
          </w:tcPr>
          <w:p>
            <w:pPr>
              <w:spacing w:after="200" w:line="276" w:lineRule="auto"/>
              <w:rPr>
                <w:bCs/>
                <w:lang w:val="uk-UA"/>
              </w:rPr>
            </w:pPr>
            <w:r>
              <w:rPr>
                <w:bCs/>
                <w:lang w:val="uk-UA"/>
              </w:rPr>
              <w:t>1.</w:t>
            </w:r>
          </w:p>
        </w:tc>
        <w:tc>
          <w:tcPr>
            <w:tcW w:w="1843" w:type="dxa"/>
          </w:tcPr>
          <w:p>
            <w:pPr>
              <w:spacing w:after="200" w:line="276" w:lineRule="auto"/>
              <w:rPr>
                <w:bCs/>
                <w:highlight w:val="none"/>
                <w:lang w:val="uk-UA"/>
              </w:rPr>
            </w:pPr>
            <w:r>
              <w:rPr>
                <w:bCs/>
                <w:highlight w:val="none"/>
                <w:lang w:val="uk-UA"/>
              </w:rPr>
              <w:t>Бензиновий генератор</w:t>
            </w:r>
          </w:p>
        </w:tc>
        <w:tc>
          <w:tcPr>
            <w:tcW w:w="6379" w:type="dxa"/>
          </w:tcPr>
          <w:p>
            <w:pPr>
              <w:spacing w:after="200" w:line="276" w:lineRule="auto"/>
              <w:rPr>
                <w:bCs/>
                <w:highlight w:val="none"/>
                <w:lang w:val="uk-UA"/>
              </w:rPr>
            </w:pPr>
            <w:r>
              <w:rPr>
                <w:bCs/>
                <w:highlight w:val="none"/>
                <w:lang w:val="uk-UA"/>
              </w:rPr>
              <w:t>Вид</w:t>
            </w:r>
            <w:r>
              <w:rPr>
                <w:bCs/>
                <w:highlight w:val="none"/>
                <w:lang w:val="uk-UA"/>
              </w:rPr>
              <w:tab/>
            </w:r>
            <w:r>
              <w:rPr>
                <w:bCs/>
                <w:highlight w:val="none"/>
                <w:lang w:val="uk-UA"/>
              </w:rPr>
              <w:t>бензиновий генератор</w:t>
            </w:r>
          </w:p>
          <w:p>
            <w:pPr>
              <w:spacing w:after="200" w:line="276" w:lineRule="auto"/>
              <w:rPr>
                <w:bCs/>
                <w:highlight w:val="none"/>
                <w:lang w:val="uk-UA"/>
              </w:rPr>
            </w:pPr>
            <w:r>
              <w:rPr>
                <w:bCs/>
                <w:highlight w:val="none"/>
                <w:lang w:val="uk-UA"/>
              </w:rPr>
              <w:t>Напруга</w:t>
            </w:r>
            <w:r>
              <w:rPr>
                <w:bCs/>
                <w:highlight w:val="none"/>
                <w:lang w:val="uk-UA"/>
              </w:rPr>
              <w:tab/>
            </w:r>
            <w:r>
              <w:rPr>
                <w:rFonts w:hint="default"/>
                <w:bCs/>
                <w:highlight w:val="none"/>
                <w:lang w:val="uk-UA"/>
              </w:rPr>
              <w:t>220</w:t>
            </w:r>
            <w:r>
              <w:rPr>
                <w:bCs/>
                <w:highlight w:val="none"/>
                <w:lang w:val="uk-UA"/>
              </w:rPr>
              <w:t xml:space="preserve"> В</w:t>
            </w:r>
          </w:p>
          <w:p>
            <w:pPr>
              <w:spacing w:after="200" w:line="276" w:lineRule="auto"/>
              <w:rPr>
                <w:rFonts w:hint="default"/>
                <w:bCs/>
                <w:highlight w:val="none"/>
                <w:lang w:val="uk-UA"/>
              </w:rPr>
            </w:pPr>
            <w:r>
              <w:rPr>
                <w:bCs/>
                <w:highlight w:val="none"/>
                <w:lang w:val="uk-UA"/>
              </w:rPr>
              <w:t>Кількість фаз</w:t>
            </w:r>
            <w:r>
              <w:rPr>
                <w:bCs/>
                <w:highlight w:val="none"/>
                <w:lang w:val="uk-UA"/>
              </w:rPr>
              <w:tab/>
            </w:r>
            <w:r>
              <w:rPr>
                <w:rFonts w:hint="default"/>
                <w:bCs/>
                <w:highlight w:val="none"/>
                <w:lang w:val="uk-UA"/>
              </w:rPr>
              <w:t>1</w:t>
            </w:r>
          </w:p>
          <w:p>
            <w:pPr>
              <w:spacing w:after="200" w:line="276" w:lineRule="auto"/>
              <w:rPr>
                <w:bCs/>
                <w:highlight w:val="none"/>
                <w:lang w:val="uk-UA"/>
              </w:rPr>
            </w:pPr>
            <w:r>
              <w:rPr>
                <w:bCs/>
                <w:highlight w:val="none"/>
                <w:lang w:val="uk-UA"/>
              </w:rPr>
              <w:t>Частота струму</w:t>
            </w:r>
            <w:r>
              <w:rPr>
                <w:rFonts w:hint="default"/>
                <w:bCs/>
                <w:highlight w:val="none"/>
                <w:lang w:val="uk-UA"/>
              </w:rPr>
              <w:t xml:space="preserve"> </w:t>
            </w:r>
            <w:r>
              <w:rPr>
                <w:bCs/>
                <w:highlight w:val="none"/>
                <w:lang w:val="uk-UA"/>
              </w:rPr>
              <w:tab/>
            </w:r>
            <w:r>
              <w:rPr>
                <w:bCs/>
                <w:highlight w:val="none"/>
                <w:lang w:val="uk-UA"/>
              </w:rPr>
              <w:t>50 Гц</w:t>
            </w:r>
          </w:p>
          <w:p>
            <w:pPr>
              <w:spacing w:after="200" w:line="276" w:lineRule="auto"/>
              <w:rPr>
                <w:bCs/>
                <w:highlight w:val="none"/>
                <w:lang w:val="uk-UA"/>
              </w:rPr>
            </w:pPr>
            <w:r>
              <w:rPr>
                <w:bCs/>
                <w:highlight w:val="none"/>
                <w:lang w:val="uk-UA"/>
              </w:rPr>
              <w:t xml:space="preserve">Номінальна потужність </w:t>
            </w:r>
            <w:r>
              <w:rPr>
                <w:bCs/>
                <w:highlight w:val="none"/>
                <w:lang w:val="uk-UA"/>
              </w:rPr>
              <w:tab/>
            </w:r>
            <w:r>
              <w:rPr>
                <w:rFonts w:hint="default"/>
                <w:bCs/>
                <w:highlight w:val="none"/>
                <w:lang w:val="uk-UA"/>
              </w:rPr>
              <w:t>6</w:t>
            </w:r>
            <w:r>
              <w:rPr>
                <w:bCs/>
                <w:highlight w:val="none"/>
                <w:lang w:val="uk-UA"/>
              </w:rPr>
              <w:t xml:space="preserve"> кВт</w:t>
            </w:r>
          </w:p>
          <w:p>
            <w:pPr>
              <w:spacing w:after="200" w:line="276" w:lineRule="auto"/>
              <w:rPr>
                <w:rFonts w:hint="default"/>
                <w:bCs/>
                <w:highlight w:val="none"/>
                <w:lang w:val="uk-UA"/>
              </w:rPr>
            </w:pPr>
            <w:r>
              <w:rPr>
                <w:bCs/>
                <w:highlight w:val="none"/>
                <w:lang w:val="uk-UA"/>
              </w:rPr>
              <w:t>Максимальна</w:t>
            </w:r>
            <w:r>
              <w:rPr>
                <w:rFonts w:hint="default"/>
                <w:bCs/>
                <w:highlight w:val="none"/>
                <w:lang w:val="uk-UA"/>
              </w:rPr>
              <w:t xml:space="preserve"> потужність 6,5 кВт</w:t>
            </w:r>
          </w:p>
          <w:p>
            <w:pPr>
              <w:spacing w:after="200" w:line="276" w:lineRule="auto"/>
              <w:rPr>
                <w:bCs/>
                <w:highlight w:val="none"/>
                <w:lang w:val="uk-UA"/>
              </w:rPr>
            </w:pPr>
            <w:r>
              <w:rPr>
                <w:bCs/>
                <w:highlight w:val="none"/>
                <w:lang w:val="uk-UA"/>
              </w:rPr>
              <w:t>Додаткові характеристики</w:t>
            </w:r>
          </w:p>
          <w:p>
            <w:pPr>
              <w:spacing w:after="200" w:line="276" w:lineRule="auto"/>
              <w:rPr>
                <w:bCs/>
                <w:highlight w:val="none"/>
                <w:lang w:val="uk-UA"/>
              </w:rPr>
            </w:pPr>
            <w:r>
              <w:rPr>
                <w:bCs/>
                <w:highlight w:val="none"/>
                <w:lang w:val="uk-UA"/>
              </w:rPr>
              <w:t>Система</w:t>
            </w:r>
            <w:r>
              <w:rPr>
                <w:rFonts w:hint="default"/>
                <w:bCs/>
                <w:highlight w:val="none"/>
                <w:lang w:val="uk-UA"/>
              </w:rPr>
              <w:t xml:space="preserve"> охолодження двигуна</w:t>
            </w:r>
            <w:r>
              <w:rPr>
                <w:bCs/>
                <w:highlight w:val="none"/>
                <w:lang w:val="uk-UA"/>
              </w:rPr>
              <w:t xml:space="preserve"> повітряна</w:t>
            </w:r>
            <w:r>
              <w:rPr>
                <w:rFonts w:hint="default"/>
                <w:bCs/>
                <w:highlight w:val="none"/>
                <w:lang w:val="uk-UA"/>
              </w:rPr>
              <w:t xml:space="preserve"> </w:t>
            </w:r>
          </w:p>
          <w:p>
            <w:pPr>
              <w:spacing w:after="200" w:line="276" w:lineRule="auto"/>
              <w:rPr>
                <w:bCs/>
                <w:highlight w:val="none"/>
                <w:lang w:val="uk-UA"/>
              </w:rPr>
            </w:pPr>
            <w:r>
              <w:rPr>
                <w:bCs/>
                <w:highlight w:val="none"/>
                <w:lang w:val="uk-UA"/>
              </w:rPr>
              <w:t>Робочий об'єм двигуна</w:t>
            </w:r>
            <w:r>
              <w:rPr>
                <w:bCs/>
                <w:highlight w:val="none"/>
                <w:lang w:val="uk-UA"/>
              </w:rPr>
              <w:tab/>
            </w:r>
            <w:r>
              <w:rPr>
                <w:rFonts w:hint="default"/>
                <w:bCs/>
                <w:highlight w:val="none"/>
                <w:lang w:val="uk-UA"/>
              </w:rPr>
              <w:t>420</w:t>
            </w:r>
            <w:r>
              <w:rPr>
                <w:bCs/>
                <w:highlight w:val="none"/>
                <w:lang w:val="uk-UA"/>
              </w:rPr>
              <w:t xml:space="preserve"> см³</w:t>
            </w:r>
          </w:p>
          <w:p>
            <w:pPr>
              <w:spacing w:after="200" w:line="276" w:lineRule="auto"/>
              <w:rPr>
                <w:rFonts w:hint="default"/>
                <w:bCs/>
                <w:highlight w:val="none"/>
                <w:lang w:val="uk-UA"/>
              </w:rPr>
            </w:pPr>
            <w:r>
              <w:rPr>
                <w:bCs/>
                <w:highlight w:val="none"/>
                <w:lang w:val="uk-UA"/>
              </w:rPr>
              <w:t>Витрата палива</w:t>
            </w:r>
            <w:r>
              <w:rPr>
                <w:bCs/>
                <w:highlight w:val="none"/>
                <w:lang w:val="uk-UA"/>
              </w:rPr>
              <w:tab/>
            </w:r>
            <w:r>
              <w:rPr>
                <w:rFonts w:hint="default"/>
                <w:bCs/>
                <w:highlight w:val="none"/>
                <w:lang w:val="uk-UA"/>
              </w:rPr>
              <w:t>290г/кВт/год</w:t>
            </w:r>
          </w:p>
          <w:p>
            <w:pPr>
              <w:spacing w:after="200" w:line="276" w:lineRule="auto"/>
              <w:rPr>
                <w:bCs/>
                <w:highlight w:val="none"/>
                <w:lang w:val="uk-UA"/>
              </w:rPr>
            </w:pPr>
            <w:r>
              <w:rPr>
                <w:bCs/>
                <w:highlight w:val="none"/>
                <w:lang w:val="uk-UA"/>
              </w:rPr>
              <w:t>Обсяг паливного бака</w:t>
            </w:r>
            <w:r>
              <w:rPr>
                <w:bCs/>
                <w:highlight w:val="none"/>
                <w:lang w:val="uk-UA"/>
              </w:rPr>
              <w:tab/>
            </w:r>
            <w:r>
              <w:rPr>
                <w:rFonts w:hint="default"/>
                <w:bCs/>
                <w:highlight w:val="none"/>
                <w:lang w:val="uk-UA"/>
              </w:rPr>
              <w:t>2</w:t>
            </w:r>
            <w:r>
              <w:rPr>
                <w:bCs/>
                <w:highlight w:val="none"/>
                <w:lang w:val="uk-UA"/>
              </w:rPr>
              <w:t>5 л</w:t>
            </w:r>
          </w:p>
          <w:p>
            <w:pPr>
              <w:spacing w:after="200" w:line="276" w:lineRule="auto"/>
              <w:rPr>
                <w:bCs/>
                <w:highlight w:val="none"/>
                <w:lang w:val="uk-UA"/>
              </w:rPr>
            </w:pPr>
            <w:r>
              <w:rPr>
                <w:bCs/>
                <w:highlight w:val="none"/>
                <w:lang w:val="uk-UA"/>
              </w:rPr>
              <w:t>Обєм масла в двигуні (л) 1,</w:t>
            </w:r>
            <w:r>
              <w:rPr>
                <w:rFonts w:hint="default"/>
                <w:bCs/>
                <w:highlight w:val="none"/>
                <w:lang w:val="uk-UA"/>
              </w:rPr>
              <w:t>1</w:t>
            </w:r>
            <w:r>
              <w:rPr>
                <w:bCs/>
                <w:highlight w:val="none"/>
                <w:lang w:val="uk-UA"/>
              </w:rPr>
              <w:t xml:space="preserve"> л.           </w:t>
            </w:r>
          </w:p>
          <w:p>
            <w:pPr>
              <w:spacing w:after="200" w:line="276" w:lineRule="auto"/>
              <w:rPr>
                <w:rFonts w:hint="default"/>
                <w:bCs/>
                <w:highlight w:val="none"/>
                <w:lang w:val="uk-UA"/>
              </w:rPr>
            </w:pPr>
            <w:r>
              <w:rPr>
                <w:bCs/>
                <w:highlight w:val="none"/>
                <w:lang w:val="uk-UA"/>
              </w:rPr>
              <w:t>Паливо</w:t>
            </w:r>
            <w:r>
              <w:rPr>
                <w:bCs/>
                <w:highlight w:val="none"/>
                <w:lang w:val="uk-UA"/>
              </w:rPr>
              <w:tab/>
            </w:r>
            <w:r>
              <w:rPr>
                <w:rFonts w:hint="default"/>
                <w:bCs/>
                <w:highlight w:val="none"/>
                <w:lang w:val="uk-UA"/>
              </w:rPr>
              <w:t xml:space="preserve">  92</w:t>
            </w:r>
          </w:p>
          <w:p>
            <w:pPr>
              <w:spacing w:after="200" w:line="276" w:lineRule="auto"/>
              <w:rPr>
                <w:rFonts w:hint="default"/>
                <w:bCs/>
                <w:highlight w:val="none"/>
                <w:lang w:val="uk-UA"/>
              </w:rPr>
            </w:pPr>
            <w:r>
              <w:rPr>
                <w:bCs/>
                <w:highlight w:val="none"/>
                <w:lang w:val="uk-UA"/>
              </w:rPr>
              <w:t>Система запуску</w:t>
            </w:r>
            <w:r>
              <w:rPr>
                <w:bCs/>
                <w:highlight w:val="none"/>
                <w:lang w:val="uk-UA"/>
              </w:rPr>
              <w:tab/>
            </w:r>
            <w:r>
              <w:rPr>
                <w:bCs/>
                <w:highlight w:val="none"/>
                <w:lang w:val="uk-UA"/>
              </w:rPr>
              <w:t>ручний</w:t>
            </w:r>
            <w:r>
              <w:rPr>
                <w:rFonts w:hint="default"/>
                <w:bCs/>
                <w:highlight w:val="none"/>
                <w:lang w:val="uk-UA"/>
              </w:rPr>
              <w:t xml:space="preserve"> запуск, Електростартер</w:t>
            </w:r>
          </w:p>
          <w:p>
            <w:pPr>
              <w:spacing w:after="200" w:line="276" w:lineRule="auto"/>
              <w:rPr>
                <w:bCs/>
                <w:highlight w:val="none"/>
                <w:lang w:val="uk-UA"/>
              </w:rPr>
            </w:pPr>
            <w:r>
              <w:rPr>
                <w:bCs/>
                <w:highlight w:val="none"/>
                <w:lang w:val="uk-UA"/>
              </w:rPr>
              <w:t>Рівень шуму</w:t>
            </w:r>
            <w:r>
              <w:rPr>
                <w:bCs/>
                <w:highlight w:val="none"/>
                <w:lang w:val="uk-UA"/>
              </w:rPr>
              <w:tab/>
            </w:r>
            <w:r>
              <w:rPr>
                <w:bCs/>
                <w:highlight w:val="none"/>
                <w:lang w:val="uk-UA"/>
              </w:rPr>
              <w:t>72 дБ</w:t>
            </w:r>
          </w:p>
          <w:p>
            <w:pPr>
              <w:spacing w:after="200" w:line="276" w:lineRule="auto"/>
              <w:rPr>
                <w:bCs/>
                <w:highlight w:val="none"/>
                <w:lang w:val="uk-UA"/>
              </w:rPr>
            </w:pPr>
            <w:r>
              <w:rPr>
                <w:bCs/>
                <w:highlight w:val="none"/>
                <w:lang w:val="uk-UA"/>
              </w:rPr>
              <w:t>Лічильник мото-год- в наявності</w:t>
            </w:r>
          </w:p>
          <w:p>
            <w:pPr>
              <w:spacing w:after="200" w:line="276" w:lineRule="auto"/>
              <w:rPr>
                <w:bCs/>
                <w:highlight w:val="none"/>
                <w:lang w:val="uk-UA"/>
              </w:rPr>
            </w:pPr>
            <w:r>
              <w:rPr>
                <w:bCs/>
                <w:highlight w:val="none"/>
                <w:lang w:val="uk-UA"/>
              </w:rPr>
              <w:t>Частота обертання (об/хв) 3000 об/хв</w:t>
            </w:r>
          </w:p>
          <w:p>
            <w:pPr>
              <w:spacing w:after="200" w:line="276" w:lineRule="auto"/>
              <w:rPr>
                <w:bCs/>
                <w:highlight w:val="none"/>
                <w:lang w:val="uk-UA"/>
              </w:rPr>
            </w:pPr>
            <w:r>
              <w:rPr>
                <w:bCs/>
                <w:highlight w:val="none"/>
                <w:lang w:val="uk-UA"/>
              </w:rPr>
              <w:t>Фізичні характеристики</w:t>
            </w:r>
          </w:p>
          <w:p>
            <w:pPr>
              <w:spacing w:after="200" w:line="276" w:lineRule="auto"/>
              <w:rPr>
                <w:bCs/>
                <w:highlight w:val="none"/>
                <w:lang w:val="uk-UA"/>
              </w:rPr>
            </w:pPr>
            <w:r>
              <w:rPr>
                <w:bCs/>
                <w:highlight w:val="none"/>
                <w:lang w:val="uk-UA"/>
              </w:rPr>
              <w:t>Генератор</w:t>
            </w:r>
            <w:r>
              <w:rPr>
                <w:bCs/>
                <w:highlight w:val="none"/>
                <w:lang w:val="uk-UA"/>
              </w:rPr>
              <w:tab/>
            </w:r>
            <w:r>
              <w:rPr>
                <w:bCs/>
                <w:highlight w:val="none"/>
                <w:lang w:val="uk-UA"/>
              </w:rPr>
              <w:t>Синхронний</w:t>
            </w:r>
          </w:p>
          <w:p>
            <w:pPr>
              <w:spacing w:after="200" w:line="276" w:lineRule="auto"/>
              <w:rPr>
                <w:bCs/>
                <w:highlight w:val="none"/>
                <w:lang w:val="uk-UA"/>
              </w:rPr>
            </w:pPr>
            <w:r>
              <w:rPr>
                <w:bCs/>
                <w:highlight w:val="none"/>
                <w:lang w:val="uk-UA"/>
              </w:rPr>
              <w:t>Розміри</w:t>
            </w:r>
            <w:r>
              <w:rPr>
                <w:bCs/>
                <w:highlight w:val="none"/>
                <w:lang w:val="uk-UA"/>
              </w:rPr>
              <w:tab/>
            </w:r>
            <w:r>
              <w:rPr>
                <w:bCs/>
                <w:highlight w:val="none"/>
                <w:lang w:val="uk-UA"/>
              </w:rPr>
              <w:t>ш</w:t>
            </w:r>
            <w:r>
              <w:rPr>
                <w:rFonts w:hint="default"/>
                <w:bCs/>
                <w:highlight w:val="none"/>
                <w:lang w:val="uk-UA"/>
              </w:rPr>
              <w:t>560*</w:t>
            </w:r>
            <w:r>
              <w:rPr>
                <w:bCs/>
                <w:highlight w:val="none"/>
                <w:lang w:val="uk-UA"/>
              </w:rPr>
              <w:t>д</w:t>
            </w:r>
            <w:r>
              <w:rPr>
                <w:rFonts w:hint="default"/>
                <w:bCs/>
                <w:highlight w:val="none"/>
                <w:lang w:val="uk-UA"/>
              </w:rPr>
              <w:t>825*в530</w:t>
            </w:r>
            <w:r>
              <w:rPr>
                <w:bCs/>
                <w:highlight w:val="none"/>
                <w:lang w:val="uk-UA"/>
              </w:rPr>
              <w:t xml:space="preserve"> мм</w:t>
            </w:r>
          </w:p>
          <w:p>
            <w:pPr>
              <w:spacing w:after="200" w:line="276" w:lineRule="auto"/>
              <w:rPr>
                <w:rFonts w:hint="default"/>
                <w:bCs/>
                <w:highlight w:val="none"/>
                <w:lang w:val="uk-UA"/>
              </w:rPr>
            </w:pPr>
            <w:r>
              <w:rPr>
                <w:bCs/>
                <w:highlight w:val="none"/>
                <w:lang w:val="uk-UA"/>
              </w:rPr>
              <w:t>Вага</w:t>
            </w:r>
            <w:r>
              <w:rPr>
                <w:rFonts w:hint="default"/>
                <w:bCs/>
                <w:highlight w:val="none"/>
                <w:lang w:val="uk-UA"/>
              </w:rPr>
              <w:t xml:space="preserve"> 84 кг</w:t>
            </w:r>
          </w:p>
          <w:p>
            <w:pPr>
              <w:spacing w:after="200" w:line="276" w:lineRule="auto"/>
              <w:rPr>
                <w:bCs/>
                <w:highlight w:val="none"/>
                <w:lang w:val="uk-UA"/>
              </w:rPr>
            </w:pPr>
            <w:r>
              <w:rPr>
                <w:bCs/>
                <w:highlight w:val="none"/>
                <w:lang w:val="uk-UA"/>
              </w:rPr>
              <w:t xml:space="preserve">Тип установки  - переносні </w:t>
            </w:r>
          </w:p>
          <w:p>
            <w:pPr>
              <w:spacing w:after="200" w:line="276" w:lineRule="auto"/>
              <w:rPr>
                <w:bCs/>
                <w:highlight w:val="none"/>
                <w:lang w:val="uk-UA"/>
              </w:rPr>
            </w:pPr>
            <w:r>
              <w:rPr>
                <w:bCs/>
                <w:highlight w:val="none"/>
                <w:lang w:val="uk-UA"/>
              </w:rPr>
              <w:t>Гарантія 24 міс</w:t>
            </w:r>
          </w:p>
        </w:tc>
        <w:tc>
          <w:tcPr>
            <w:tcW w:w="1807" w:type="dxa"/>
          </w:tcPr>
          <w:p>
            <w:pPr>
              <w:spacing w:after="200" w:line="276" w:lineRule="auto"/>
              <w:rPr>
                <w:bCs/>
                <w:lang w:val="uk-UA"/>
              </w:rPr>
            </w:pPr>
            <w:r>
              <w:rPr>
                <w:bCs/>
                <w:lang w:val="uk-UA"/>
              </w:rPr>
              <w:t>3 шт</w:t>
            </w:r>
          </w:p>
        </w:tc>
      </w:tr>
    </w:tbl>
    <w:p>
      <w:pPr>
        <w:rPr>
          <w:bCs/>
          <w:lang w:val="uk-UA"/>
        </w:rPr>
      </w:pPr>
    </w:p>
    <w:p>
      <w:pPr>
        <w:rPr>
          <w:b/>
          <w:lang w:val="uk-UA"/>
        </w:rPr>
      </w:pPr>
    </w:p>
    <w:p>
      <w:pPr>
        <w:rPr>
          <w:b/>
          <w:lang w:val="uk-UA"/>
        </w:rPr>
      </w:pP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29"/>
    <w:rsid w:val="00233429"/>
    <w:rsid w:val="00271839"/>
    <w:rsid w:val="003B2C4C"/>
    <w:rsid w:val="004209FC"/>
    <w:rsid w:val="005E7C21"/>
    <w:rsid w:val="007559C8"/>
    <w:rsid w:val="008E2D18"/>
    <w:rsid w:val="00987A63"/>
    <w:rsid w:val="00B15CEB"/>
    <w:rsid w:val="00B17D5A"/>
    <w:rsid w:val="00B4406A"/>
    <w:rsid w:val="2D690090"/>
    <w:rsid w:val="5DD64280"/>
    <w:rsid w:val="70B056D5"/>
    <w:rsid w:val="7A1D79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895</Words>
  <Characters>5106</Characters>
  <Lines>42</Lines>
  <Paragraphs>11</Paragraphs>
  <TotalTime>4</TotalTime>
  <ScaleCrop>false</ScaleCrop>
  <LinksUpToDate>false</LinksUpToDate>
  <CharactersWithSpaces>5990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2022-02-08T08:37:00Z</dcterms:created>
  <dc:creator>Admin</dc:creator>
  <cp:lastModifiedBy>ОЛЕНА КОРОБЧУК</cp:lastModifiedBy>
  <dcterms:modified xsi:type="dcterms:W3CDTF">2022-09-08T13:06:14Z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C5CBD41693FE4959892DA62D41E8D632</vt:lpwstr>
  </property>
</Properties>
</file>