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C28" w:rsidRPr="003E7252" w:rsidRDefault="009F7C28" w:rsidP="009D6508">
      <w:pPr>
        <w:pStyle w:val="3"/>
        <w:spacing w:after="0"/>
        <w:ind w:left="0"/>
        <w:contextualSpacing/>
        <w:jc w:val="right"/>
        <w:rPr>
          <w:b/>
          <w:sz w:val="24"/>
          <w:szCs w:val="24"/>
        </w:rPr>
      </w:pPr>
      <w:r w:rsidRPr="003E7252">
        <w:rPr>
          <w:b/>
          <w:sz w:val="24"/>
          <w:szCs w:val="24"/>
        </w:rPr>
        <w:t>Додаток 4 до тендерної документації</w:t>
      </w:r>
    </w:p>
    <w:p w:rsidR="009F7C28" w:rsidRPr="003E7252" w:rsidRDefault="009F7C28" w:rsidP="009F7C28">
      <w:pPr>
        <w:pStyle w:val="Standard"/>
        <w:jc w:val="center"/>
        <w:rPr>
          <w:rFonts w:ascii="Times New Roman" w:hAnsi="Times New Roman" w:cs="Times New Roman"/>
          <w:b/>
          <w:lang w:val="uk-UA"/>
        </w:rPr>
      </w:pPr>
    </w:p>
    <w:p w:rsidR="009F7C28" w:rsidRPr="007D39D6" w:rsidRDefault="009F7C28" w:rsidP="009F7C28">
      <w:pPr>
        <w:jc w:val="center"/>
        <w:rPr>
          <w:b/>
        </w:rPr>
      </w:pPr>
      <w:r w:rsidRPr="007D39D6">
        <w:rPr>
          <w:b/>
        </w:rPr>
        <w:t>ІНФОРМАЦІЯ ПРО НЕОБХІДНІ ТЕХНІЧНІ ТА ЯКІСНІ ХАРАКТЕРИСТИКИ ПРЕДМЕТА ЗАКУПІВЛІ</w:t>
      </w:r>
    </w:p>
    <w:p w:rsidR="009F7C28" w:rsidRPr="00F13D4D" w:rsidRDefault="009F7C28" w:rsidP="009F7C28">
      <w:pPr>
        <w:jc w:val="center"/>
      </w:pPr>
    </w:p>
    <w:p w:rsidR="009F7C28" w:rsidRPr="00C865A2" w:rsidRDefault="009F7C28" w:rsidP="009F7C28">
      <w:pPr>
        <w:pStyle w:val="a3"/>
        <w:spacing w:before="0" w:beforeAutospacing="0" w:after="0"/>
        <w:ind w:firstLine="708"/>
        <w:jc w:val="both"/>
        <w:rPr>
          <w:lang w:val="uk-UA"/>
        </w:rPr>
      </w:pPr>
      <w:r w:rsidRPr="00F13D4D">
        <w:rPr>
          <w:bCs/>
          <w:lang w:val="uk-UA"/>
        </w:rPr>
        <w:t>Предмет закупівлі:</w:t>
      </w:r>
      <w:r w:rsidR="00D87B5F">
        <w:rPr>
          <w:b/>
          <w:lang w:val="uk-UA" w:eastAsia="en-US"/>
        </w:rPr>
        <w:t xml:space="preserve"> </w:t>
      </w:r>
      <w:r w:rsidR="00C865A2" w:rsidRPr="00D87B5F">
        <w:rPr>
          <w:b/>
          <w:noProof/>
          <w:lang w:val="uk-UA"/>
        </w:rPr>
        <w:t>Код за ДК 021:2015 -</w:t>
      </w:r>
      <w:r w:rsidR="00D87B5F">
        <w:rPr>
          <w:b/>
          <w:noProof/>
          <w:lang w:val="uk-UA"/>
        </w:rPr>
        <w:t xml:space="preserve"> </w:t>
      </w:r>
      <w:r w:rsidR="00661533" w:rsidRPr="009E73F0">
        <w:rPr>
          <w:b/>
          <w:noProof/>
          <w:lang w:val="uk-UA"/>
        </w:rPr>
        <w:t>33141200-2 Катетери</w:t>
      </w:r>
      <w:bookmarkStart w:id="0" w:name="_GoBack"/>
      <w:bookmarkEnd w:id="0"/>
      <w:r w:rsidR="00C865A2" w:rsidRPr="00C865A2">
        <w:rPr>
          <w:noProof/>
          <w:lang w:val="uk-UA"/>
        </w:rPr>
        <w:t xml:space="preserve"> </w:t>
      </w:r>
      <w:bookmarkStart w:id="1" w:name="_Hlk160026801"/>
      <w:r w:rsidR="00185577">
        <w:rPr>
          <w:noProof/>
          <w:lang w:val="uk-UA"/>
        </w:rPr>
        <w:t>(</w:t>
      </w:r>
      <w:r w:rsidR="00D00745" w:rsidRPr="00D00745">
        <w:rPr>
          <w:noProof/>
          <w:lang w:val="uk-UA"/>
        </w:rPr>
        <w:t>Мікрокатетери малого діаметру із підвищеними властивостями підтримки (опори), більш жорсткі. Використовуються для катетеризації судин та порожнин аневризм біфуркаційних локалізацій т.з. «прямого доступу». Також придатний для проведення різноманітних протекційних та потікскерувуючих стентів малого профілю</w:t>
      </w:r>
      <w:r w:rsidR="00185577">
        <w:rPr>
          <w:noProof/>
          <w:lang w:val="uk-UA"/>
        </w:rPr>
        <w:t xml:space="preserve"> (НК 024:2023 «</w:t>
      </w:r>
      <w:r w:rsidR="00185577" w:rsidRPr="00904B75">
        <w:rPr>
          <w:lang w:val="uk-UA"/>
        </w:rPr>
        <w:t>10691 Периферійний / коронарний судинний мікрокатетер</w:t>
      </w:r>
      <w:r w:rsidR="00185577">
        <w:rPr>
          <w:noProof/>
          <w:lang w:val="uk-UA"/>
        </w:rPr>
        <w:t>»))»</w:t>
      </w:r>
      <w:bookmarkEnd w:id="1"/>
    </w:p>
    <w:tbl>
      <w:tblPr>
        <w:tblpPr w:leftFromText="180" w:rightFromText="180" w:vertAnchor="text" w:tblpX="108" w:tblpY="1"/>
        <w:tblOverlap w:val="neve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2421"/>
        <w:gridCol w:w="3916"/>
        <w:gridCol w:w="1330"/>
        <w:gridCol w:w="1477"/>
      </w:tblGrid>
      <w:tr w:rsidR="009F7C28" w:rsidRPr="007D39D6" w:rsidTr="002737BA">
        <w:trPr>
          <w:trHeight w:val="538"/>
        </w:trPr>
        <w:tc>
          <w:tcPr>
            <w:tcW w:w="664" w:type="dxa"/>
            <w:shd w:val="clear" w:color="auto" w:fill="auto"/>
          </w:tcPr>
          <w:p w:rsidR="009F7C28" w:rsidRPr="007D39D6" w:rsidRDefault="009F7C28" w:rsidP="002737BA">
            <w:pPr>
              <w:tabs>
                <w:tab w:val="left" w:pos="3261"/>
              </w:tabs>
              <w:rPr>
                <w:b/>
                <w:color w:val="000000"/>
              </w:rPr>
            </w:pPr>
            <w:r w:rsidRPr="007D39D6">
              <w:rPr>
                <w:b/>
                <w:color w:val="000000"/>
              </w:rPr>
              <w:t>№ з/п</w:t>
            </w:r>
          </w:p>
        </w:tc>
        <w:tc>
          <w:tcPr>
            <w:tcW w:w="2421" w:type="dxa"/>
            <w:shd w:val="clear" w:color="auto" w:fill="auto"/>
          </w:tcPr>
          <w:p w:rsidR="009F7C28" w:rsidRPr="007D39D6" w:rsidRDefault="009F7C28" w:rsidP="002737BA">
            <w:pPr>
              <w:tabs>
                <w:tab w:val="left" w:pos="3261"/>
              </w:tabs>
              <w:jc w:val="center"/>
              <w:rPr>
                <w:b/>
                <w:color w:val="000000"/>
              </w:rPr>
            </w:pPr>
            <w:r w:rsidRPr="007D39D6">
              <w:rPr>
                <w:b/>
                <w:color w:val="000000"/>
              </w:rPr>
              <w:t>Найменування</w:t>
            </w:r>
          </w:p>
        </w:tc>
        <w:tc>
          <w:tcPr>
            <w:tcW w:w="3916" w:type="dxa"/>
          </w:tcPr>
          <w:p w:rsidR="009F7C28" w:rsidRPr="007D39D6" w:rsidRDefault="009F7C28" w:rsidP="002737BA">
            <w:pPr>
              <w:tabs>
                <w:tab w:val="left" w:pos="708"/>
              </w:tabs>
              <w:jc w:val="center"/>
              <w:rPr>
                <w:b/>
                <w:color w:val="000000"/>
              </w:rPr>
            </w:pPr>
            <w:r w:rsidRPr="007D39D6">
              <w:rPr>
                <w:b/>
              </w:rPr>
              <w:t>НК 024:2023</w:t>
            </w:r>
          </w:p>
        </w:tc>
        <w:tc>
          <w:tcPr>
            <w:tcW w:w="1330" w:type="dxa"/>
          </w:tcPr>
          <w:p w:rsidR="009F7C28" w:rsidRPr="007D39D6" w:rsidRDefault="009F7C28" w:rsidP="002737BA">
            <w:pPr>
              <w:tabs>
                <w:tab w:val="left" w:pos="708"/>
              </w:tabs>
              <w:jc w:val="center"/>
              <w:rPr>
                <w:b/>
                <w:color w:val="000000"/>
              </w:rPr>
            </w:pPr>
            <w:r w:rsidRPr="007D39D6">
              <w:rPr>
                <w:b/>
                <w:color w:val="000000"/>
              </w:rPr>
              <w:t>Одиниця виміру</w:t>
            </w:r>
          </w:p>
        </w:tc>
        <w:tc>
          <w:tcPr>
            <w:tcW w:w="1477" w:type="dxa"/>
          </w:tcPr>
          <w:p w:rsidR="009F7C28" w:rsidRPr="007D39D6" w:rsidRDefault="009F7C28" w:rsidP="002737BA">
            <w:pPr>
              <w:tabs>
                <w:tab w:val="left" w:pos="708"/>
              </w:tabs>
              <w:jc w:val="center"/>
              <w:rPr>
                <w:b/>
                <w:color w:val="000000"/>
              </w:rPr>
            </w:pPr>
            <w:r w:rsidRPr="007D39D6">
              <w:rPr>
                <w:b/>
                <w:color w:val="000000"/>
              </w:rPr>
              <w:t>Кількість</w:t>
            </w:r>
          </w:p>
        </w:tc>
      </w:tr>
      <w:tr w:rsidR="009F7C28" w:rsidRPr="007D39D6" w:rsidTr="002737BA">
        <w:trPr>
          <w:trHeight w:val="707"/>
        </w:trPr>
        <w:tc>
          <w:tcPr>
            <w:tcW w:w="664" w:type="dxa"/>
            <w:shd w:val="clear" w:color="auto" w:fill="auto"/>
          </w:tcPr>
          <w:p w:rsidR="009F7C28" w:rsidRPr="007D39D6" w:rsidRDefault="009F7C28" w:rsidP="002737BA">
            <w:pPr>
              <w:tabs>
                <w:tab w:val="left" w:pos="3261"/>
              </w:tabs>
              <w:rPr>
                <w:b/>
                <w:color w:val="000000"/>
              </w:rPr>
            </w:pPr>
            <w:bookmarkStart w:id="2" w:name="_Hlk141886407"/>
            <w:r w:rsidRPr="007D39D6">
              <w:rPr>
                <w:b/>
                <w:color w:val="000000"/>
              </w:rPr>
              <w:t>1</w:t>
            </w:r>
          </w:p>
        </w:tc>
        <w:tc>
          <w:tcPr>
            <w:tcW w:w="2421" w:type="dxa"/>
            <w:shd w:val="clear" w:color="auto" w:fill="auto"/>
          </w:tcPr>
          <w:p w:rsidR="009F7C28" w:rsidRPr="007D39D6" w:rsidRDefault="00185577" w:rsidP="002737BA">
            <w:pPr>
              <w:tabs>
                <w:tab w:val="left" w:pos="5190"/>
              </w:tabs>
              <w:rPr>
                <w:color w:val="000000"/>
              </w:rPr>
            </w:pPr>
            <w:r>
              <w:rPr>
                <w:noProof/>
              </w:rPr>
              <w:t>Мікрокатетер</w:t>
            </w:r>
          </w:p>
        </w:tc>
        <w:tc>
          <w:tcPr>
            <w:tcW w:w="3916" w:type="dxa"/>
          </w:tcPr>
          <w:p w:rsidR="009F7C28" w:rsidRPr="007D39D6" w:rsidRDefault="00185577" w:rsidP="002737BA">
            <w:r w:rsidRPr="00904B75">
              <w:t>10691 Периферійний / коронарний судинний мікрокатетер</w:t>
            </w:r>
          </w:p>
        </w:tc>
        <w:tc>
          <w:tcPr>
            <w:tcW w:w="1330" w:type="dxa"/>
          </w:tcPr>
          <w:p w:rsidR="009F7C28" w:rsidRPr="007D39D6" w:rsidRDefault="009F7C28" w:rsidP="002737BA">
            <w:pPr>
              <w:tabs>
                <w:tab w:val="left" w:pos="708"/>
              </w:tabs>
              <w:jc w:val="center"/>
              <w:rPr>
                <w:color w:val="000000"/>
              </w:rPr>
            </w:pPr>
            <w:r w:rsidRPr="007D39D6">
              <w:rPr>
                <w:color w:val="000000"/>
              </w:rPr>
              <w:t>шт</w:t>
            </w:r>
          </w:p>
        </w:tc>
        <w:tc>
          <w:tcPr>
            <w:tcW w:w="1477" w:type="dxa"/>
          </w:tcPr>
          <w:p w:rsidR="00DD5480" w:rsidRPr="007D39D6" w:rsidRDefault="00185577" w:rsidP="002737BA">
            <w:pPr>
              <w:tabs>
                <w:tab w:val="left" w:pos="708"/>
              </w:tabs>
              <w:jc w:val="center"/>
              <w:rPr>
                <w:color w:val="000000"/>
              </w:rPr>
            </w:pPr>
            <w:r>
              <w:rPr>
                <w:color w:val="000000"/>
              </w:rPr>
              <w:t>85</w:t>
            </w:r>
          </w:p>
        </w:tc>
      </w:tr>
      <w:bookmarkEnd w:id="2"/>
    </w:tbl>
    <w:p w:rsidR="009F7C28" w:rsidRPr="007D39D6" w:rsidRDefault="009F7C28" w:rsidP="009F7C28">
      <w:pPr>
        <w:jc w:val="both"/>
      </w:pPr>
    </w:p>
    <w:p w:rsidR="003F1CFB" w:rsidRPr="005B42FB" w:rsidRDefault="00185577" w:rsidP="003F1CFB">
      <w:pPr>
        <w:pStyle w:val="a5"/>
        <w:numPr>
          <w:ilvl w:val="0"/>
          <w:numId w:val="1"/>
        </w:numPr>
        <w:shd w:val="clear" w:color="auto" w:fill="FFFFFF"/>
        <w:contextualSpacing/>
        <w:jc w:val="both"/>
        <w:textAlignment w:val="baseline"/>
        <w:rPr>
          <w:b/>
        </w:rPr>
      </w:pPr>
      <w:r w:rsidRPr="00185577">
        <w:rPr>
          <w:b/>
          <w:lang w:val="uk-UA"/>
        </w:rPr>
        <w:t>Мікрокатетер</w:t>
      </w:r>
    </w:p>
    <w:tbl>
      <w:tblPr>
        <w:tblW w:w="980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2656"/>
        <w:gridCol w:w="6617"/>
      </w:tblGrid>
      <w:tr w:rsidR="003F1CFB" w:rsidRPr="005B42FB" w:rsidTr="009F2F06">
        <w:tc>
          <w:tcPr>
            <w:tcW w:w="536" w:type="dxa"/>
            <w:shd w:val="clear" w:color="auto" w:fill="auto"/>
            <w:vAlign w:val="center"/>
          </w:tcPr>
          <w:p w:rsidR="003F1CFB" w:rsidRPr="005B42FB" w:rsidRDefault="003F1CFB" w:rsidP="0043537D">
            <w:pPr>
              <w:widowControl w:val="0"/>
              <w:autoSpaceDE w:val="0"/>
              <w:autoSpaceDN w:val="0"/>
              <w:adjustRightInd w:val="0"/>
              <w:jc w:val="center"/>
              <w:rPr>
                <w:b/>
              </w:rPr>
            </w:pPr>
            <w:r w:rsidRPr="005B42FB">
              <w:rPr>
                <w:b/>
              </w:rPr>
              <w:t>№ з/п</w:t>
            </w:r>
          </w:p>
        </w:tc>
        <w:tc>
          <w:tcPr>
            <w:tcW w:w="2656" w:type="dxa"/>
            <w:shd w:val="clear" w:color="auto" w:fill="auto"/>
            <w:vAlign w:val="center"/>
          </w:tcPr>
          <w:p w:rsidR="003F1CFB" w:rsidRPr="005B42FB" w:rsidRDefault="003F1CFB" w:rsidP="0043537D">
            <w:pPr>
              <w:widowControl w:val="0"/>
              <w:autoSpaceDE w:val="0"/>
              <w:autoSpaceDN w:val="0"/>
              <w:adjustRightInd w:val="0"/>
              <w:jc w:val="center"/>
              <w:rPr>
                <w:b/>
              </w:rPr>
            </w:pPr>
            <w:r w:rsidRPr="005B42FB">
              <w:rPr>
                <w:b/>
              </w:rPr>
              <w:t>Характеристика/ параметр</w:t>
            </w:r>
          </w:p>
        </w:tc>
        <w:tc>
          <w:tcPr>
            <w:tcW w:w="6617" w:type="dxa"/>
            <w:shd w:val="clear" w:color="auto" w:fill="auto"/>
            <w:vAlign w:val="center"/>
          </w:tcPr>
          <w:p w:rsidR="003F1CFB" w:rsidRPr="005B42FB" w:rsidRDefault="003F1CFB" w:rsidP="0043537D">
            <w:pPr>
              <w:widowControl w:val="0"/>
              <w:autoSpaceDE w:val="0"/>
              <w:autoSpaceDN w:val="0"/>
              <w:adjustRightInd w:val="0"/>
              <w:jc w:val="center"/>
              <w:rPr>
                <w:b/>
              </w:rPr>
            </w:pPr>
            <w:r w:rsidRPr="005B42FB">
              <w:rPr>
                <w:b/>
              </w:rPr>
              <w:t>Медико-технічні вимоги</w:t>
            </w:r>
          </w:p>
        </w:tc>
      </w:tr>
      <w:tr w:rsidR="00185577" w:rsidRPr="005B42FB" w:rsidTr="009F2F06">
        <w:tc>
          <w:tcPr>
            <w:tcW w:w="536" w:type="dxa"/>
            <w:shd w:val="clear" w:color="auto" w:fill="auto"/>
          </w:tcPr>
          <w:p w:rsidR="00185577" w:rsidRPr="005B42FB" w:rsidRDefault="00185577" w:rsidP="00185577">
            <w:pPr>
              <w:jc w:val="center"/>
            </w:pPr>
            <w:r w:rsidRPr="005B42FB">
              <w:t>1</w:t>
            </w:r>
          </w:p>
        </w:tc>
        <w:tc>
          <w:tcPr>
            <w:tcW w:w="2656" w:type="dxa"/>
            <w:shd w:val="clear" w:color="auto" w:fill="auto"/>
          </w:tcPr>
          <w:p w:rsidR="00185577" w:rsidRPr="00161A94" w:rsidRDefault="00185577" w:rsidP="00185577">
            <w:pPr>
              <w:spacing w:line="276" w:lineRule="auto"/>
            </w:pPr>
            <w:r w:rsidRPr="00161A94">
              <w:t>Просвіт мікрокатетера</w:t>
            </w:r>
          </w:p>
        </w:tc>
        <w:tc>
          <w:tcPr>
            <w:tcW w:w="6617" w:type="dxa"/>
            <w:shd w:val="clear" w:color="auto" w:fill="auto"/>
          </w:tcPr>
          <w:p w:rsidR="00185577" w:rsidRPr="00161A94" w:rsidRDefault="00185577" w:rsidP="00185577">
            <w:pPr>
              <w:spacing w:line="276" w:lineRule="auto"/>
            </w:pPr>
            <w:r w:rsidRPr="00161A94">
              <w:t>Мікрокатетер повинен мати одинарний просвіт для кращого доступу до дистальної судинної сітки при використанні з провідниковим катетером та провідником</w:t>
            </w:r>
          </w:p>
        </w:tc>
      </w:tr>
      <w:tr w:rsidR="00185577" w:rsidRPr="005B42FB" w:rsidTr="009F2F06">
        <w:tc>
          <w:tcPr>
            <w:tcW w:w="536" w:type="dxa"/>
            <w:shd w:val="clear" w:color="auto" w:fill="auto"/>
          </w:tcPr>
          <w:p w:rsidR="00185577" w:rsidRPr="005B42FB" w:rsidRDefault="00185577" w:rsidP="00185577">
            <w:pPr>
              <w:jc w:val="center"/>
            </w:pPr>
            <w:r w:rsidRPr="005B42FB">
              <w:t>2</w:t>
            </w:r>
          </w:p>
        </w:tc>
        <w:tc>
          <w:tcPr>
            <w:tcW w:w="2656" w:type="dxa"/>
            <w:shd w:val="clear" w:color="auto" w:fill="auto"/>
          </w:tcPr>
          <w:p w:rsidR="00185577" w:rsidRPr="00161A94" w:rsidRDefault="00185577" w:rsidP="00185577">
            <w:pPr>
              <w:spacing w:line="276" w:lineRule="auto"/>
            </w:pPr>
            <w:r w:rsidRPr="00161A94">
              <w:t>Наявність маркерів</w:t>
            </w:r>
          </w:p>
        </w:tc>
        <w:tc>
          <w:tcPr>
            <w:tcW w:w="6617" w:type="dxa"/>
            <w:shd w:val="clear" w:color="auto" w:fill="auto"/>
          </w:tcPr>
          <w:p w:rsidR="00185577" w:rsidRPr="00161A94" w:rsidRDefault="00185577" w:rsidP="00185577">
            <w:pPr>
              <w:spacing w:line="276" w:lineRule="auto"/>
            </w:pPr>
            <w:r w:rsidRPr="00161A94">
              <w:t xml:space="preserve">Наявність не менше 2 </w:t>
            </w:r>
            <w:r>
              <w:t xml:space="preserve">маркери </w:t>
            </w:r>
            <w:r w:rsidRPr="00161A94">
              <w:t>для кращої візуалізації</w:t>
            </w:r>
          </w:p>
        </w:tc>
      </w:tr>
      <w:tr w:rsidR="00185577" w:rsidRPr="005B42FB" w:rsidTr="009F2F06">
        <w:tc>
          <w:tcPr>
            <w:tcW w:w="536" w:type="dxa"/>
            <w:shd w:val="clear" w:color="auto" w:fill="auto"/>
          </w:tcPr>
          <w:p w:rsidR="00185577" w:rsidRPr="005B42FB" w:rsidRDefault="00185577" w:rsidP="00185577">
            <w:pPr>
              <w:jc w:val="center"/>
            </w:pPr>
            <w:r w:rsidRPr="005B42FB">
              <w:t>3</w:t>
            </w:r>
          </w:p>
        </w:tc>
        <w:tc>
          <w:tcPr>
            <w:tcW w:w="2656" w:type="dxa"/>
            <w:shd w:val="clear" w:color="auto" w:fill="auto"/>
          </w:tcPr>
          <w:p w:rsidR="00185577" w:rsidRPr="00161A94" w:rsidRDefault="00185577" w:rsidP="00185577">
            <w:pPr>
              <w:spacing w:line="276" w:lineRule="auto"/>
            </w:pPr>
            <w:r w:rsidRPr="00161A94">
              <w:t>Внутрішній діаметр</w:t>
            </w:r>
          </w:p>
        </w:tc>
        <w:tc>
          <w:tcPr>
            <w:tcW w:w="6617" w:type="dxa"/>
            <w:shd w:val="clear" w:color="auto" w:fill="auto"/>
          </w:tcPr>
          <w:p w:rsidR="00185577" w:rsidRPr="00161A94" w:rsidRDefault="00185577" w:rsidP="00185577">
            <w:pPr>
              <w:spacing w:line="276" w:lineRule="auto"/>
            </w:pPr>
            <w:r w:rsidRPr="00161A94">
              <w:t>Повин</w:t>
            </w:r>
            <w:r>
              <w:t>ні</w:t>
            </w:r>
            <w:r w:rsidRPr="00161A94">
              <w:t xml:space="preserve"> бути в наявності мікрокатетер</w:t>
            </w:r>
            <w:r>
              <w:t>и</w:t>
            </w:r>
            <w:r w:rsidRPr="00161A94">
              <w:t xml:space="preserve"> з внутрішніми діаметрами 0,017, 0,021 та 0,027 дюйма</w:t>
            </w:r>
          </w:p>
        </w:tc>
      </w:tr>
      <w:tr w:rsidR="00185577" w:rsidRPr="005B42FB" w:rsidTr="009F2F06">
        <w:tc>
          <w:tcPr>
            <w:tcW w:w="536" w:type="dxa"/>
            <w:shd w:val="clear" w:color="auto" w:fill="auto"/>
          </w:tcPr>
          <w:p w:rsidR="00185577" w:rsidRPr="005B42FB" w:rsidRDefault="00185577" w:rsidP="00185577">
            <w:pPr>
              <w:jc w:val="center"/>
            </w:pPr>
            <w:r w:rsidRPr="005B42FB">
              <w:t>4</w:t>
            </w:r>
          </w:p>
        </w:tc>
        <w:tc>
          <w:tcPr>
            <w:tcW w:w="2656" w:type="dxa"/>
            <w:shd w:val="clear" w:color="auto" w:fill="auto"/>
          </w:tcPr>
          <w:p w:rsidR="00185577" w:rsidRPr="00161A94" w:rsidRDefault="00185577" w:rsidP="00185577">
            <w:pPr>
              <w:spacing w:line="276" w:lineRule="auto"/>
            </w:pPr>
            <w:r w:rsidRPr="00161A94">
              <w:t>Покриття</w:t>
            </w:r>
          </w:p>
        </w:tc>
        <w:tc>
          <w:tcPr>
            <w:tcW w:w="6617" w:type="dxa"/>
            <w:shd w:val="clear" w:color="auto" w:fill="auto"/>
          </w:tcPr>
          <w:p w:rsidR="00185577" w:rsidRPr="00161A94" w:rsidRDefault="00185577" w:rsidP="00185577">
            <w:pPr>
              <w:spacing w:line="276" w:lineRule="auto"/>
            </w:pPr>
            <w:r w:rsidRPr="00161A94">
              <w:t xml:space="preserve">Наявність гідрофільного покриття </w:t>
            </w:r>
          </w:p>
        </w:tc>
      </w:tr>
      <w:tr w:rsidR="00185577" w:rsidRPr="005B42FB" w:rsidTr="009F2F06">
        <w:tc>
          <w:tcPr>
            <w:tcW w:w="536" w:type="dxa"/>
            <w:shd w:val="clear" w:color="auto" w:fill="auto"/>
          </w:tcPr>
          <w:p w:rsidR="00185577" w:rsidRPr="005B42FB" w:rsidRDefault="00185577" w:rsidP="00185577">
            <w:pPr>
              <w:jc w:val="center"/>
            </w:pPr>
            <w:r w:rsidRPr="005B42FB">
              <w:t>5</w:t>
            </w:r>
          </w:p>
        </w:tc>
        <w:tc>
          <w:tcPr>
            <w:tcW w:w="2656" w:type="dxa"/>
            <w:shd w:val="clear" w:color="auto" w:fill="auto"/>
          </w:tcPr>
          <w:p w:rsidR="00185577" w:rsidRPr="00161A94" w:rsidRDefault="00185577" w:rsidP="00185577">
            <w:pPr>
              <w:spacing w:line="276" w:lineRule="auto"/>
            </w:pPr>
            <w:r>
              <w:t>Робоча</w:t>
            </w:r>
            <w:r w:rsidRPr="00161A94">
              <w:t xml:space="preserve"> довжина</w:t>
            </w:r>
          </w:p>
        </w:tc>
        <w:tc>
          <w:tcPr>
            <w:tcW w:w="6617" w:type="dxa"/>
            <w:shd w:val="clear" w:color="auto" w:fill="auto"/>
          </w:tcPr>
          <w:p w:rsidR="00185577" w:rsidRPr="00161A94" w:rsidRDefault="00185577" w:rsidP="00185577">
            <w:pPr>
              <w:spacing w:line="276" w:lineRule="auto"/>
            </w:pPr>
            <w:r>
              <w:t>Повинні бути в наявності з робочою</w:t>
            </w:r>
            <w:r w:rsidRPr="00161A94">
              <w:t xml:space="preserve"> довжин</w:t>
            </w:r>
            <w:r>
              <w:t>ою</w:t>
            </w:r>
            <w:r w:rsidRPr="00161A94">
              <w:t xml:space="preserve"> </w:t>
            </w:r>
            <w:r w:rsidRPr="00D21448">
              <w:t>150</w:t>
            </w:r>
            <w:r>
              <w:t xml:space="preserve"> см та</w:t>
            </w:r>
            <w:r w:rsidRPr="00161A94">
              <w:t xml:space="preserve"> </w:t>
            </w:r>
            <w:r>
              <w:t>156</w:t>
            </w:r>
            <w:r w:rsidRPr="00161A94">
              <w:t xml:space="preserve"> см </w:t>
            </w:r>
          </w:p>
        </w:tc>
      </w:tr>
    </w:tbl>
    <w:p w:rsidR="009F7C28" w:rsidRDefault="009F7C28" w:rsidP="009F7C28">
      <w:pPr>
        <w:jc w:val="both"/>
        <w:rPr>
          <w:b/>
        </w:rPr>
      </w:pPr>
    </w:p>
    <w:p w:rsidR="009825A1" w:rsidRPr="009825A1" w:rsidRDefault="009825A1" w:rsidP="009825A1">
      <w:pPr>
        <w:jc w:val="both"/>
        <w:rPr>
          <w:b/>
        </w:rPr>
      </w:pPr>
    </w:p>
    <w:p w:rsidR="009F7C28" w:rsidRPr="007D39D6" w:rsidRDefault="009F7C28" w:rsidP="009F7C28">
      <w:pPr>
        <w:widowControl w:val="0"/>
        <w:ind w:firstLine="708"/>
        <w:jc w:val="both"/>
        <w:rPr>
          <w:color w:val="000000"/>
        </w:rPr>
      </w:pPr>
      <w:r w:rsidRPr="007D39D6">
        <w:rPr>
          <w:b/>
        </w:rPr>
        <w:t>Якщо тендерна пропозиція учасника не відповідає Технічній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p w:rsidR="009F7C28" w:rsidRPr="007D39D6" w:rsidRDefault="009F7C28" w:rsidP="009F7C28">
      <w:pPr>
        <w:tabs>
          <w:tab w:val="left" w:pos="142"/>
          <w:tab w:val="left" w:pos="284"/>
        </w:tabs>
        <w:rPr>
          <w:i/>
        </w:rPr>
      </w:pPr>
    </w:p>
    <w:p w:rsidR="009F7C28" w:rsidRPr="009F7C28" w:rsidRDefault="009F7C28" w:rsidP="009F7C28">
      <w:pPr>
        <w:jc w:val="both"/>
      </w:pPr>
      <w:r w:rsidRPr="009F7C28">
        <w:rPr>
          <w:rStyle w:val="Arial3"/>
          <w:rFonts w:ascii="Times New Roman" w:hAnsi="Times New Roman"/>
          <w:bCs/>
          <w:sz w:val="24"/>
        </w:rPr>
        <w:t>Запропонований учасником товар повинен відповідати таким вимогам:</w:t>
      </w:r>
    </w:p>
    <w:p w:rsidR="009F7C28" w:rsidRPr="009F7C28" w:rsidRDefault="009F7C28" w:rsidP="009F7C28">
      <w:pPr>
        <w:pStyle w:val="HTML"/>
        <w:jc w:val="both"/>
        <w:rPr>
          <w:rFonts w:ascii="Times New Roman" w:hAnsi="Times New Roman"/>
          <w:b/>
          <w:i/>
          <w:sz w:val="24"/>
          <w:szCs w:val="24"/>
        </w:rPr>
      </w:pPr>
    </w:p>
    <w:p w:rsidR="009F7C28" w:rsidRPr="007D39D6" w:rsidRDefault="009F7C28" w:rsidP="009F7C28">
      <w:pPr>
        <w:jc w:val="both"/>
        <w:rPr>
          <w:bCs/>
        </w:rPr>
      </w:pPr>
      <w:r w:rsidRPr="007D39D6">
        <w:rPr>
          <w:bCs/>
        </w:rPr>
        <w:t>1. Медичні вироби повинні бути зареєстровані в Україні та дозволені для введення в обіг та/або експлуатацію (застосування) відповідно до законодавства України. Ця вимога засвідчується учаснику надати:</w:t>
      </w:r>
    </w:p>
    <w:p w:rsidR="009F7C28" w:rsidRPr="007D39D6" w:rsidRDefault="009F7C28" w:rsidP="009F7C28">
      <w:pPr>
        <w:jc w:val="both"/>
        <w:rPr>
          <w:bCs/>
        </w:rPr>
      </w:pPr>
      <w:r w:rsidRPr="007D39D6">
        <w:rPr>
          <w:bCs/>
        </w:rPr>
        <w:t xml:space="preserve">а) завіреною копією декларації або копією сертифікату відповідності або копією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rsidR="009F7C28" w:rsidRPr="007D39D6" w:rsidRDefault="009F7C28" w:rsidP="009F7C28">
      <w:pPr>
        <w:jc w:val="both"/>
        <w:rPr>
          <w:bCs/>
        </w:rPr>
      </w:pPr>
      <w:r w:rsidRPr="007D39D6">
        <w:rPr>
          <w:bCs/>
        </w:rPr>
        <w:t>2. Відповідність, чи невідповідність запропонованих товарів медико-технічним вимогам повинна бути підтверджена наданням таблиці відповідності; (Відповідність медико-технічних характеристик, запропонованого Учасником товару, повинна бути обов’язково підтверджена посиланням на відповідні розділи, та/або сторінку(и) технічного документу (настанови (інструкції) з експлуатації (застосування), буклету, каталогу тощо)  в якому міститься ця інформація разом з додаванням завірених його копій.)</w:t>
      </w:r>
    </w:p>
    <w:p w:rsidR="009F7C28" w:rsidRPr="007D39D6" w:rsidRDefault="009F7C28" w:rsidP="009F7C28">
      <w:pPr>
        <w:jc w:val="both"/>
      </w:pPr>
      <w:r w:rsidRPr="007D39D6">
        <w:rPr>
          <w:bCs/>
        </w:rPr>
        <w:lastRenderedPageBreak/>
        <w:t xml:space="preserve">3. </w:t>
      </w:r>
      <w:r w:rsidRPr="007D39D6">
        <w:rPr>
          <w:bCs/>
          <w:color w:val="000000"/>
        </w:rPr>
        <w:t xml:space="preserve">Учасник повинен надати </w:t>
      </w:r>
      <w:r w:rsidRPr="007D39D6">
        <w:t>гарантійний лист щодо строку придатності виробів, який на момент поставки складатиме  не менше 12 місяців від загального терміну придатності.</w:t>
      </w:r>
    </w:p>
    <w:p w:rsidR="009F7C28" w:rsidRPr="007D39D6" w:rsidRDefault="009F7C28" w:rsidP="009F7C28">
      <w:pPr>
        <w:widowControl w:val="0"/>
        <w:ind w:firstLine="709"/>
        <w:jc w:val="both"/>
        <w:rPr>
          <w:b/>
          <w:i/>
        </w:rPr>
      </w:pPr>
    </w:p>
    <w:p w:rsidR="009F7C28" w:rsidRPr="007D39D6" w:rsidRDefault="009F7C28" w:rsidP="009F7C28">
      <w:pPr>
        <w:widowControl w:val="0"/>
        <w:ind w:firstLine="709"/>
        <w:jc w:val="both"/>
        <w:rPr>
          <w:b/>
          <w:i/>
        </w:rPr>
      </w:pPr>
      <w:r w:rsidRPr="007D39D6">
        <w:rPr>
          <w:b/>
          <w:i/>
        </w:rPr>
        <w:t>У разі, якщо це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9F7C28" w:rsidRPr="003E7252" w:rsidRDefault="009F7C28" w:rsidP="009F7C28">
      <w:pPr>
        <w:tabs>
          <w:tab w:val="left" w:pos="8025"/>
        </w:tabs>
        <w:jc w:val="both"/>
        <w:rPr>
          <w:rFonts w:eastAsia="Arial"/>
          <w:i/>
          <w:kern w:val="2"/>
          <w:lang w:eastAsia="zh-CN"/>
        </w:rPr>
      </w:pPr>
    </w:p>
    <w:p w:rsidR="00F231B5" w:rsidRDefault="009F7C28" w:rsidP="009F7C28">
      <w:r w:rsidRPr="003E7252">
        <w:rPr>
          <w:rFonts w:eastAsia="Arial"/>
          <w:i/>
          <w:kern w:val="2"/>
          <w:lang w:eastAsia="zh-CN"/>
        </w:rPr>
        <w:t xml:space="preserve">     </w:t>
      </w:r>
      <w:r w:rsidR="005112C6" w:rsidRPr="003E7252">
        <w:rPr>
          <w:rFonts w:eastAsia="Arial"/>
          <w:i/>
          <w:kern w:val="2"/>
          <w:lang w:eastAsia="zh-CN"/>
        </w:rPr>
        <w:t xml:space="preserve">     </w:t>
      </w:r>
    </w:p>
    <w:sectPr w:rsidR="00F231B5" w:rsidSect="00F231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01"/>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93576"/>
    <w:multiLevelType w:val="hybridMultilevel"/>
    <w:tmpl w:val="97FE8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B774CF"/>
    <w:multiLevelType w:val="hybridMultilevel"/>
    <w:tmpl w:val="E0BC0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112C6"/>
    <w:rsid w:val="00185577"/>
    <w:rsid w:val="002737BA"/>
    <w:rsid w:val="00333D8C"/>
    <w:rsid w:val="003F1CFB"/>
    <w:rsid w:val="004A1779"/>
    <w:rsid w:val="005112C6"/>
    <w:rsid w:val="005D72B6"/>
    <w:rsid w:val="00661533"/>
    <w:rsid w:val="008163E4"/>
    <w:rsid w:val="00822BFD"/>
    <w:rsid w:val="00952B9E"/>
    <w:rsid w:val="009825A1"/>
    <w:rsid w:val="009D6508"/>
    <w:rsid w:val="009F2F06"/>
    <w:rsid w:val="009F7C28"/>
    <w:rsid w:val="00A44B77"/>
    <w:rsid w:val="00AA1746"/>
    <w:rsid w:val="00BA18BC"/>
    <w:rsid w:val="00C74EA2"/>
    <w:rsid w:val="00C77289"/>
    <w:rsid w:val="00C865A2"/>
    <w:rsid w:val="00D00745"/>
    <w:rsid w:val="00D87B5F"/>
    <w:rsid w:val="00DD5480"/>
    <w:rsid w:val="00ED7CC8"/>
    <w:rsid w:val="00F13D4D"/>
    <w:rsid w:val="00F231B5"/>
    <w:rsid w:val="00F23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2C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qFormat/>
    <w:rsid w:val="00511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qFormat/>
    <w:rsid w:val="005112C6"/>
    <w:rPr>
      <w:rFonts w:ascii="Courier New" w:eastAsia="Times New Roman" w:hAnsi="Courier New" w:cs="Times New Roman"/>
      <w:sz w:val="20"/>
      <w:szCs w:val="20"/>
    </w:rPr>
  </w:style>
  <w:style w:type="paragraph" w:styleId="a3">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Знак,Знак18 Знак"/>
    <w:basedOn w:val="a"/>
    <w:link w:val="a4"/>
    <w:uiPriority w:val="99"/>
    <w:unhideWhenUsed/>
    <w:qFormat/>
    <w:rsid w:val="005112C6"/>
    <w:pPr>
      <w:spacing w:before="100" w:beforeAutospacing="1" w:after="100" w:afterAutospacing="1"/>
    </w:pPr>
    <w:rPr>
      <w:lang w:val="ru-RU"/>
    </w:rPr>
  </w:style>
  <w:style w:type="character" w:customStyle="1" w:styleId="a4">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3"/>
    <w:locked/>
    <w:rsid w:val="005112C6"/>
    <w:rPr>
      <w:rFonts w:ascii="Times New Roman" w:eastAsia="Times New Roman" w:hAnsi="Times New Roman" w:cs="Times New Roman"/>
      <w:sz w:val="24"/>
      <w:szCs w:val="24"/>
      <w:lang w:eastAsia="ru-RU"/>
    </w:rPr>
  </w:style>
  <w:style w:type="paragraph" w:styleId="a5">
    <w:name w:val="List Paragraph"/>
    <w:aliases w:val="1 Буллет,Список уровня 2,Chapter10,название табл/рис,Elenco Normale"/>
    <w:basedOn w:val="a"/>
    <w:link w:val="a6"/>
    <w:uiPriority w:val="34"/>
    <w:qFormat/>
    <w:rsid w:val="005112C6"/>
    <w:pPr>
      <w:ind w:left="708"/>
    </w:pPr>
    <w:rPr>
      <w:rFonts w:eastAsia="SimSun"/>
      <w:lang w:val="ru-RU" w:eastAsia="en-US"/>
    </w:rPr>
  </w:style>
  <w:style w:type="paragraph" w:styleId="3">
    <w:name w:val="Body Text Indent 3"/>
    <w:basedOn w:val="a"/>
    <w:link w:val="30"/>
    <w:uiPriority w:val="99"/>
    <w:rsid w:val="005112C6"/>
    <w:pPr>
      <w:spacing w:after="120"/>
      <w:ind w:left="283"/>
    </w:pPr>
    <w:rPr>
      <w:sz w:val="16"/>
      <w:szCs w:val="16"/>
    </w:rPr>
  </w:style>
  <w:style w:type="character" w:customStyle="1" w:styleId="30">
    <w:name w:val="Основной текст с отступом 3 Знак"/>
    <w:basedOn w:val="a0"/>
    <w:link w:val="3"/>
    <w:uiPriority w:val="99"/>
    <w:rsid w:val="005112C6"/>
    <w:rPr>
      <w:rFonts w:ascii="Times New Roman" w:eastAsia="Times New Roman" w:hAnsi="Times New Roman" w:cs="Times New Roman"/>
      <w:sz w:val="16"/>
      <w:szCs w:val="16"/>
      <w:lang w:val="uk-UA"/>
    </w:rPr>
  </w:style>
  <w:style w:type="character" w:customStyle="1" w:styleId="a6">
    <w:name w:val="Абзац списка Знак"/>
    <w:aliases w:val="1 Буллет Знак,Список уровня 2 Знак,Chapter10 Знак,название табл/рис Знак,Elenco Normale Знак"/>
    <w:link w:val="a5"/>
    <w:uiPriority w:val="1"/>
    <w:rsid w:val="005112C6"/>
    <w:rPr>
      <w:rFonts w:ascii="Times New Roman" w:eastAsia="SimSun" w:hAnsi="Times New Roman" w:cs="Times New Roman"/>
      <w:sz w:val="24"/>
      <w:szCs w:val="24"/>
    </w:rPr>
  </w:style>
  <w:style w:type="paragraph" w:customStyle="1" w:styleId="Standard">
    <w:name w:val="Standard"/>
    <w:rsid w:val="005112C6"/>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Arial3">
    <w:name w:val="Основной текст + Arial3"/>
    <w:qFormat/>
    <w:rsid w:val="005112C6"/>
    <w:rPr>
      <w:rFonts w:ascii="Arial" w:hAnsi="Arial"/>
      <w:color w:val="000000"/>
      <w:sz w:val="15"/>
      <w:shd w:val="clear" w:color="auto" w:fill="FFFFFF"/>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430</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VK1</dc:creator>
  <cp:lastModifiedBy>VK1</cp:lastModifiedBy>
  <cp:revision>16</cp:revision>
  <dcterms:created xsi:type="dcterms:W3CDTF">2023-11-23T10:52:00Z</dcterms:created>
  <dcterms:modified xsi:type="dcterms:W3CDTF">2024-03-27T11:36:00Z</dcterms:modified>
</cp:coreProperties>
</file>