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8" w:rsidRDefault="00894AA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8C377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F83988" w:rsidRDefault="00F8398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83988" w:rsidRDefault="00894AA1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F83988" w:rsidRDefault="00F83988">
      <w:pPr>
        <w:rPr>
          <w:rFonts w:ascii="Times New Roman" w:hAnsi="Times New Roman"/>
          <w:b/>
          <w:lang w:val="uk-UA"/>
        </w:rPr>
      </w:pPr>
    </w:p>
    <w:p w:rsidR="00F83988" w:rsidRDefault="00894AA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«Трактор КАТА КЕ 354 з кондиціонером та відвалом (або еквівалент)»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</w:t>
      </w:r>
    </w:p>
    <w:p w:rsidR="00F83988" w:rsidRDefault="00894AA1">
      <w:pPr>
        <w:jc w:val="center"/>
        <w:rPr>
          <w:b/>
          <w:bCs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кодом ДК 021:2015 – 167</w:t>
      </w:r>
      <w:r w:rsidR="00381DC1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381DC1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1DC1">
        <w:rPr>
          <w:rFonts w:ascii="Times New Roman" w:hAnsi="Times New Roman"/>
          <w:b/>
          <w:sz w:val="24"/>
          <w:szCs w:val="24"/>
          <w:lang w:val="uk-UA"/>
        </w:rPr>
        <w:t>Трактор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F83988" w:rsidRDefault="00894AA1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абзацу 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статті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23 Закону,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після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цьому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стандартні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регламенти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умовні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позначення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термінологію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існуючими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міжнародними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європейськими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стандартами,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спільними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європейськими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нормами,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еталонними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системами,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визнаними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європейськими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стандартизації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національними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фірму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його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доповнити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читати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сприймати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виразом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F83988" w:rsidRDefault="00894AA1">
      <w:pPr>
        <w:pStyle w:val="ae"/>
        <w:spacing w:after="0"/>
        <w:ind w:left="-142" w:firstLine="56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трактор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установленим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нормативною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Продавця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. Товар повинен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абзацу 4 </w:t>
      </w:r>
      <w:proofErr w:type="spellStart"/>
      <w:r>
        <w:rPr>
          <w:rFonts w:ascii="Times New Roman" w:hAnsi="Times New Roman"/>
          <w:sz w:val="24"/>
          <w:szCs w:val="24"/>
        </w:rPr>
        <w:t>підпункту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2 пункту 1 </w:t>
      </w: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обмежувальних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11.09.2014 р. №829-р,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заборонено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43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резидентів</w:t>
      </w:r>
      <w:proofErr w:type="spellEnd"/>
      <w:r w:rsidR="003A58F0" w:rsidRPr="00BF4550">
        <w:rPr>
          <w:rFonts w:ascii="Times New Roman" w:hAnsi="Times New Roman"/>
        </w:rPr>
        <w:fldChar w:fldCharType="begin"/>
      </w:r>
      <w:r w:rsidR="003A58F0" w:rsidRPr="00BF4550">
        <w:rPr>
          <w:rFonts w:ascii="Times New Roman" w:hAnsi="Times New Roman"/>
        </w:rPr>
        <w:instrText xml:space="preserve"> HYPERLINK "https://ips.ligazakon.net/document/view/kp240131?ed=2024_02_09&amp;an=30" \t "_blank" </w:instrText>
      </w:r>
      <w:r w:rsidR="003A58F0" w:rsidRPr="00BF4550">
        <w:rPr>
          <w:rFonts w:ascii="Times New Roman" w:hAnsi="Times New Roman"/>
        </w:rPr>
        <w:fldChar w:fldCharType="separate"/>
      </w:r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крім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того,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що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проживає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на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території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на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законних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підставах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);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юридичною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особою,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утвореною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та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зареєстрованою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відповідно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до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законодавства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юридичною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особою,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утвореною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та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зареєстрованою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відповідно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до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законодавства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кінцевим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бенефіціарним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власником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членом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або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учасником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акціонером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що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має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частку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в статутному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капіталі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10 і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більше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відсотків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далі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-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активи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якої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є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Федерація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громадянин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крім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того,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що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проживає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на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території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на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законних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підставах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або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юридичною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особою,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утвореною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та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зареєстрованою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відповідно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до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законодавства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крім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випадків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коли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активи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установленому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законодавством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порядку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передані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управління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АРМА;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або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пропонує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тендерній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пропозиції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товари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походженням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з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Ісламської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Іран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(за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винятком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товарів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походженням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з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Російської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Федерації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/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Республіки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Білорусь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необхідних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для ремонту та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обслуговування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товарів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придбаних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до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набрання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A58F0" w:rsidRPr="00BF4550">
        <w:rPr>
          <w:rFonts w:ascii="Times New Roman" w:hAnsi="Times New Roman"/>
          <w:shd w:val="clear" w:color="auto" w:fill="FFFFFF"/>
        </w:rPr>
        <w:t>чинності</w:t>
      </w:r>
      <w:proofErr w:type="spellEnd"/>
      <w:r w:rsidR="003A58F0" w:rsidRPr="00BF4550">
        <w:rPr>
          <w:rFonts w:ascii="Times New Roman" w:hAnsi="Times New Roman"/>
          <w:shd w:val="clear" w:color="auto" w:fill="FFFFFF"/>
        </w:rPr>
        <w:fldChar w:fldCharType="end"/>
      </w:r>
      <w:r w:rsidR="003A58F0" w:rsidRPr="009D2EE6">
        <w:rPr>
          <w:rFonts w:ascii="IBM Plex Serif" w:hAnsi="IBM Plex Serif"/>
          <w:color w:val="293A55"/>
          <w:shd w:val="clear" w:color="auto" w:fill="FFFFFF"/>
        </w:rPr>
        <w:t> </w:t>
      </w:r>
      <w:r w:rsidR="00D743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b/>
          <w:sz w:val="24"/>
          <w:szCs w:val="24"/>
        </w:rPr>
        <w:t>надати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лист,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складений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довільній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формі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гарантує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Товар 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ввезений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митну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митному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режимі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імпорту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Російської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Федерації</w:t>
      </w:r>
      <w:proofErr w:type="spellEnd"/>
      <w:r w:rsidR="00BF45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/ </w:t>
      </w:r>
      <w:r w:rsidR="00BF4550" w:rsidRPr="00BF4550">
        <w:rPr>
          <w:rFonts w:ascii="Times New Roman" w:hAnsi="Times New Roman"/>
          <w:b/>
          <w:color w:val="000000"/>
          <w:sz w:val="24"/>
          <w:szCs w:val="24"/>
          <w:lang w:val="uk-UA"/>
        </w:rPr>
        <w:t>Республіки Білорусь / Ісламської Республіки Іран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після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24 лютого 2022р.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Включно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83988" w:rsidRDefault="00894AA1">
      <w:pPr>
        <w:pStyle w:val="ae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Трактор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кондеціонером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відвалом</w:t>
      </w:r>
      <w:r>
        <w:rPr>
          <w:rFonts w:ascii="Times New Roman" w:hAnsi="Times New Roman"/>
          <w:sz w:val="24"/>
          <w:szCs w:val="24"/>
        </w:rPr>
        <w:t xml:space="preserve"> повинен бути </w:t>
      </w:r>
      <w:proofErr w:type="spellStart"/>
      <w:r>
        <w:rPr>
          <w:rFonts w:ascii="Times New Roman" w:hAnsi="Times New Roman"/>
          <w:sz w:val="24"/>
          <w:szCs w:val="24"/>
        </w:rPr>
        <w:t>новим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заводському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b/>
          <w:sz w:val="24"/>
          <w:szCs w:val="24"/>
        </w:rPr>
        <w:t>надати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пропозиці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арантійний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лист про те, </w:t>
      </w:r>
      <w:proofErr w:type="spellStart"/>
      <w:r>
        <w:rPr>
          <w:rFonts w:ascii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транспортний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засіб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b/>
          <w:sz w:val="24"/>
          <w:szCs w:val="24"/>
        </w:rPr>
        <w:t>перебував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експлуатації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 не </w:t>
      </w:r>
      <w:proofErr w:type="spellStart"/>
      <w:r>
        <w:rPr>
          <w:rFonts w:ascii="Times New Roman" w:hAnsi="Times New Roman"/>
          <w:b/>
          <w:sz w:val="24"/>
          <w:szCs w:val="24"/>
        </w:rPr>
        <w:t>порушені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терміни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його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988" w:rsidRDefault="00894AA1">
      <w:pPr>
        <w:ind w:right="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транспортного </w:t>
      </w:r>
      <w:proofErr w:type="spellStart"/>
      <w:r>
        <w:rPr>
          <w:rFonts w:ascii="Times New Roman" w:hAnsi="Times New Roman"/>
          <w:sz w:val="24"/>
          <w:szCs w:val="24"/>
        </w:rPr>
        <w:t>засобу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Державних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органах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b/>
          <w:sz w:val="24"/>
          <w:szCs w:val="24"/>
        </w:rPr>
        <w:t>надати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пропозиці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лист, </w:t>
      </w:r>
      <w:proofErr w:type="spellStart"/>
      <w:r>
        <w:rPr>
          <w:rFonts w:ascii="Times New Roman" w:hAnsi="Times New Roman"/>
          <w:b/>
          <w:sz w:val="24"/>
          <w:szCs w:val="24"/>
        </w:rPr>
        <w:t>який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запевнить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тому, </w:t>
      </w:r>
      <w:proofErr w:type="spellStart"/>
      <w:r>
        <w:rPr>
          <w:rFonts w:ascii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разі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визнання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переможцем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надасть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пакет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</w:rPr>
        <w:t>Державних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органах.</w:t>
      </w:r>
    </w:p>
    <w:p w:rsidR="00F83988" w:rsidRDefault="00894AA1">
      <w:pPr>
        <w:pStyle w:val="ae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гарантія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трактор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кондеціонером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відвалом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/>
          <w:sz w:val="24"/>
          <w:szCs w:val="24"/>
        </w:rPr>
        <w:t>мотогодин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3988" w:rsidRDefault="00894AA1">
      <w:pPr>
        <w:pStyle w:val="ae"/>
        <w:spacing w:after="0"/>
        <w:ind w:left="-142" w:firstLine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сервісних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періодичністю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експлуатаційній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товар.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сервісних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входить до </w:t>
      </w:r>
      <w:proofErr w:type="spellStart"/>
      <w:r>
        <w:rPr>
          <w:rFonts w:ascii="Times New Roman" w:hAnsi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3988" w:rsidRDefault="00894AA1">
      <w:pPr>
        <w:pStyle w:val="tm7"/>
        <w:ind w:left="-113" w:firstLine="0"/>
        <w:rPr>
          <w:rFonts w:ascii="Times New Roman" w:hAnsi="Times New Roman" w:cs="Times New Roman"/>
          <w:bCs/>
          <w:lang w:val="uk-UA"/>
        </w:rPr>
      </w:pPr>
      <w:r>
        <w:rPr>
          <w:rStyle w:val="tm81"/>
          <w:rFonts w:ascii="Times New Roman" w:hAnsi="Times New Roman" w:cs="Times New Roman"/>
          <w:bCs/>
          <w:lang w:val="uk-UA"/>
        </w:rPr>
        <w:t xml:space="preserve">         6. Ціна Товару , включає в себе ціну за одиницю Товару з урахування ПДВ , та усі податки, збори та обов’язкові платежі, що мають бути сплачені у даному випадку, а також витрати на транспортування предмету закупівлі до місця поставки , визначеного замовником,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завантажування, розвантажування</w:t>
      </w:r>
      <w:r>
        <w:rPr>
          <w:rStyle w:val="tm81"/>
          <w:rFonts w:ascii="Times New Roman" w:hAnsi="Times New Roman" w:cs="Times New Roman"/>
          <w:bCs/>
          <w:lang w:val="uk-UA"/>
        </w:rPr>
        <w:t>, сплату мита, податків та інших зборів і обов’язкових необхідні  платежів, що сплачуються або мають бути сплачені згідно з чинним законодавством України у зв’язку з ввезенням на митну територію Україна та розмитнення.</w:t>
      </w:r>
    </w:p>
    <w:p w:rsidR="00F83988" w:rsidRDefault="00F839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3988" w:rsidRDefault="00894AA1">
      <w:pPr>
        <w:jc w:val="center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характеристики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Товару</w:t>
      </w:r>
    </w:p>
    <w:p w:rsidR="00F83988" w:rsidRDefault="00894AA1">
      <w:pPr>
        <w:pStyle w:val="af0"/>
        <w:spacing w:before="280" w:after="28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Кількість товару : 1 шт.</w:t>
      </w:r>
    </w:p>
    <w:p w:rsidR="00F83988" w:rsidRDefault="00894AA1">
      <w:pPr>
        <w:spacing w:before="150" w:after="150" w:line="240" w:lineRule="auto"/>
        <w:rPr>
          <w:rFonts w:ascii="Times New Roman" w:hAnsi="Times New Roman"/>
          <w:b/>
          <w:color w:val="000000"/>
          <w:lang w:val="uk-UA"/>
        </w:rPr>
      </w:pPr>
      <w:r>
        <w:rPr>
          <w:rStyle w:val="h-address-formatter"/>
          <w:rFonts w:ascii="Times New Roman" w:hAnsi="Times New Roman"/>
          <w:sz w:val="24"/>
          <w:szCs w:val="24"/>
          <w:lang w:val="uk-UA"/>
        </w:rPr>
        <w:t xml:space="preserve">Поставка Товару здійснюється  за </w:t>
      </w:r>
      <w:proofErr w:type="spellStart"/>
      <w:r>
        <w:rPr>
          <w:rStyle w:val="h-address-formatter"/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Style w:val="h-address-formatter"/>
          <w:rFonts w:ascii="Times New Roman" w:hAnsi="Times New Roman"/>
          <w:sz w:val="24"/>
          <w:szCs w:val="24"/>
          <w:lang w:val="uk-UA"/>
        </w:rPr>
        <w:t xml:space="preserve">: </w:t>
      </w:r>
      <w:r w:rsidR="00D77B79">
        <w:rPr>
          <w:rFonts w:ascii="Times New Roman" w:hAnsi="Times New Roman"/>
          <w:b/>
          <w:color w:val="000000"/>
          <w:lang w:val="uk-UA"/>
        </w:rPr>
        <w:t>82042</w:t>
      </w:r>
      <w:r>
        <w:rPr>
          <w:rFonts w:ascii="Times New Roman" w:hAnsi="Times New Roman"/>
          <w:b/>
          <w:color w:val="000000"/>
          <w:lang w:val="uk-UA"/>
        </w:rPr>
        <w:t xml:space="preserve">, вул. </w:t>
      </w:r>
      <w:r w:rsidR="00D77B79">
        <w:rPr>
          <w:rFonts w:ascii="Times New Roman" w:hAnsi="Times New Roman"/>
          <w:b/>
          <w:color w:val="000000"/>
          <w:lang w:val="uk-UA"/>
        </w:rPr>
        <w:t>Івасюк</w:t>
      </w:r>
      <w:r>
        <w:rPr>
          <w:rFonts w:ascii="Times New Roman" w:hAnsi="Times New Roman"/>
          <w:b/>
          <w:color w:val="000000"/>
          <w:lang w:val="uk-UA"/>
        </w:rPr>
        <w:t xml:space="preserve">а, </w:t>
      </w:r>
      <w:r w:rsidR="00D77B79">
        <w:rPr>
          <w:rFonts w:ascii="Times New Roman" w:hAnsi="Times New Roman"/>
          <w:b/>
          <w:color w:val="000000"/>
          <w:lang w:val="uk-UA"/>
        </w:rPr>
        <w:t>4</w:t>
      </w:r>
      <w:r>
        <w:rPr>
          <w:rFonts w:ascii="Times New Roman" w:hAnsi="Times New Roman"/>
          <w:b/>
          <w:color w:val="000000"/>
          <w:lang w:val="uk-UA"/>
        </w:rPr>
        <w:t xml:space="preserve">, </w:t>
      </w:r>
      <w:r w:rsidR="00D77B79">
        <w:rPr>
          <w:rFonts w:ascii="Times New Roman" w:hAnsi="Times New Roman"/>
          <w:b/>
          <w:color w:val="000000"/>
          <w:lang w:val="uk-UA"/>
        </w:rPr>
        <w:t>м</w:t>
      </w:r>
      <w:r>
        <w:rPr>
          <w:rFonts w:ascii="Times New Roman" w:hAnsi="Times New Roman"/>
          <w:b/>
          <w:color w:val="000000"/>
          <w:lang w:val="uk-UA"/>
        </w:rPr>
        <w:t>.</w:t>
      </w:r>
      <w:r w:rsidR="00D77B79"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 w:rsidR="00D77B79">
        <w:rPr>
          <w:rFonts w:ascii="Times New Roman" w:hAnsi="Times New Roman"/>
          <w:b/>
          <w:color w:val="000000"/>
          <w:lang w:val="uk-UA"/>
        </w:rPr>
        <w:t>Добромиль</w:t>
      </w:r>
      <w:proofErr w:type="spellEnd"/>
      <w:r>
        <w:rPr>
          <w:rFonts w:ascii="Times New Roman" w:hAnsi="Times New Roman"/>
          <w:b/>
          <w:color w:val="000000"/>
          <w:lang w:val="uk-UA"/>
        </w:rPr>
        <w:t xml:space="preserve">, </w:t>
      </w:r>
      <w:r w:rsidR="00D77B79">
        <w:rPr>
          <w:rFonts w:ascii="Times New Roman" w:hAnsi="Times New Roman"/>
          <w:b/>
          <w:color w:val="000000"/>
          <w:lang w:val="uk-UA"/>
        </w:rPr>
        <w:t>Самбірський</w:t>
      </w:r>
      <w:r>
        <w:rPr>
          <w:rFonts w:ascii="Times New Roman" w:hAnsi="Times New Roman"/>
          <w:b/>
          <w:color w:val="000000"/>
          <w:lang w:val="uk-UA"/>
        </w:rPr>
        <w:t xml:space="preserve"> район, </w:t>
      </w:r>
      <w:r w:rsidR="00D77B79">
        <w:rPr>
          <w:rFonts w:ascii="Times New Roman" w:hAnsi="Times New Roman"/>
          <w:b/>
          <w:color w:val="000000"/>
          <w:lang w:val="uk-UA"/>
        </w:rPr>
        <w:t>Львівсь</w:t>
      </w:r>
      <w:r>
        <w:rPr>
          <w:rFonts w:ascii="Times New Roman" w:hAnsi="Times New Roman"/>
          <w:b/>
          <w:color w:val="000000"/>
          <w:lang w:val="uk-UA"/>
        </w:rPr>
        <w:t>ка область</w:t>
      </w:r>
    </w:p>
    <w:p w:rsidR="00F83988" w:rsidRDefault="00F83988">
      <w:pPr>
        <w:pStyle w:val="HTML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52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857"/>
        <w:gridCol w:w="4542"/>
        <w:gridCol w:w="4253"/>
      </w:tblGrid>
      <w:tr w:rsidR="00F83988">
        <w:trPr>
          <w:trHeight w:val="671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88" w:rsidRDefault="00894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«Трактор КАТА КЕ 354 з кондиціонером та відвалом (або еквівалент)»</w:t>
            </w:r>
          </w:p>
          <w:p w:rsidR="00F83988" w:rsidRDefault="00894AA1">
            <w:pPr>
              <w:pStyle w:val="af0"/>
              <w:spacing w:before="28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(еквівалент за технічними характеристиками)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Двигун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LAIDONG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Модель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4L22BT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єм</w:t>
            </w:r>
            <w:proofErr w:type="spellEnd"/>
            <w:r>
              <w:rPr>
                <w:lang w:val="uk-UA"/>
              </w:rPr>
              <w:t xml:space="preserve"> (л)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16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циліндрів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Євро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/>
              </w:rPr>
              <w:t xml:space="preserve">Максимальна потужність, </w:t>
            </w:r>
            <w:proofErr w:type="spellStart"/>
            <w:r>
              <w:rPr>
                <w:lang w:val="uk-UA"/>
              </w:rPr>
              <w:t>к.с</w:t>
            </w:r>
            <w:proofErr w:type="spellEnd"/>
            <w:r>
              <w:rPr>
                <w:lang w:val="uk-UA"/>
              </w:rPr>
              <w:t>./кВт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35/25.7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/>
              </w:rPr>
              <w:t>Витрати палива, г/кВт/год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/>
              </w:rPr>
              <w:t>Пусковий підігрівач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КПП/Трансмісія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8F+8R, РЕВЕРС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/>
              </w:rPr>
              <w:t>Колісна формула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4х4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 відбору потужності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540/1000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Блокування заднього диференціала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/>
              </w:rPr>
              <w:t>Рульове управління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гідравлічне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Зчеплення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зчеплення подвійної дії, виробництво LUК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Розмір гуми передні/задні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6.5-16/11.2-24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Переднє крило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Тягове зусилля,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≥7,4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Вантажопідйомність,</w:t>
            </w:r>
            <w:r>
              <w:rPr>
                <w:sz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≥6,6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Габаритні розміри, </w:t>
            </w:r>
            <w:proofErr w:type="spellStart"/>
            <w:r>
              <w:rPr>
                <w:lang w:val="uk-UA"/>
              </w:rPr>
              <w:t>ДхШхВ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420×</w:t>
            </w:r>
            <w:r>
              <w:t>1</w:t>
            </w:r>
            <w:r>
              <w:rPr>
                <w:lang w:val="uk-UA"/>
              </w:rPr>
              <w:t>630×</w:t>
            </w:r>
            <w:r>
              <w:t>2</w:t>
            </w:r>
            <w:r>
              <w:rPr>
                <w:lang w:val="uk-UA"/>
              </w:rPr>
              <w:t>230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Колія передніх коліс,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1205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Колія задніх коліс,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t>12</w:t>
            </w:r>
            <w:r>
              <w:rPr>
                <w:lang w:val="uk-UA"/>
              </w:rPr>
              <w:t>44-</w:t>
            </w:r>
            <w:r>
              <w:t>14</w:t>
            </w:r>
            <w:r>
              <w:rPr>
                <w:lang w:val="uk-UA"/>
              </w:rPr>
              <w:t>25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Колісна база,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1860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Мін. агротехнічний просвіт, 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295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Маса трактора без спорядження, кг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1780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Компресор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Задні, передні </w:t>
            </w:r>
            <w:proofErr w:type="spellStart"/>
            <w:r>
              <w:rPr>
                <w:lang w:val="uk-UA"/>
              </w:rPr>
              <w:t>груза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Гідросистема/виходи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Обсяг паливного бака, 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Кабіна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Герметична кабіна із фільтром салону;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кондиціонером;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обшивка салону; система обігріву; комфортне сидіння з ременем безпеки; щітка переднього вікна; сонцезахисна шторка; розетка на 12V; підсвічування номерного знаку; лічильник годин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Задня навіска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під шарнір</w:t>
            </w:r>
          </w:p>
        </w:tc>
      </w:tr>
      <w:tr w:rsidR="00F83988">
        <w:trPr>
          <w:trHeight w:val="4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Фарбування трактора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зелений</w:t>
            </w:r>
          </w:p>
        </w:tc>
      </w:tr>
      <w:tr w:rsidR="00F83988">
        <w:trPr>
          <w:trHeight w:val="465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Відвал універсально-механічний, КАТА КЕ</w:t>
            </w:r>
          </w:p>
        </w:tc>
      </w:tr>
      <w:tr w:rsidR="00F83988">
        <w:trPr>
          <w:trHeight w:val="25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en-US"/>
              </w:rPr>
            </w:pPr>
            <w:r>
              <w:rPr>
                <w:lang w:val="uk-UA"/>
              </w:rPr>
              <w:t>Маса, кг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F83988">
        <w:trPr>
          <w:trHeight w:val="9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F83988">
            <w:pPr>
              <w:pStyle w:val="af0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 w:bidi="hi-IN"/>
              </w:rPr>
              <w:t xml:space="preserve">Габаритні розміри, </w:t>
            </w:r>
            <w:proofErr w:type="spellStart"/>
            <w:r>
              <w:rPr>
                <w:lang w:val="uk-UA" w:bidi="hi-IN"/>
              </w:rPr>
              <w:t>ДхВ</w:t>
            </w:r>
            <w:proofErr w:type="spellEnd"/>
            <w:r>
              <w:rPr>
                <w:lang w:val="uk-UA" w:bidi="hi-IN"/>
              </w:rPr>
              <w:t>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 w:bidi="hi-IN"/>
              </w:rPr>
              <w:t>1700х600</w:t>
            </w:r>
          </w:p>
        </w:tc>
      </w:tr>
      <w:tr w:rsidR="00F83988">
        <w:trPr>
          <w:trHeight w:val="244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F83988">
            <w:pPr>
              <w:pStyle w:val="af0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hd w:val="clear" w:color="auto" w:fill="FFFFFF"/>
              <w:spacing w:beforeAutospacing="1"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hi-IN"/>
              </w:rPr>
              <w:t>Ширина захвату при куті 30 градусів,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F83988">
        <w:trPr>
          <w:trHeight w:val="10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F83988">
            <w:pPr>
              <w:pStyle w:val="af0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hd w:val="clear" w:color="auto" w:fill="FFFFFF"/>
              <w:spacing w:beforeAutospacing="1"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hi-IN"/>
              </w:rPr>
              <w:t>Товщина металу лопати,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3988">
        <w:trPr>
          <w:trHeight w:val="23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F83988">
            <w:pPr>
              <w:pStyle w:val="af0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hd w:val="clear" w:color="auto" w:fill="FFFFFF"/>
              <w:spacing w:beforeAutospacing="1"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hi-IN"/>
              </w:rPr>
              <w:t>Товщина армованої гуми, 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shd w:val="clear" w:color="auto" w:fill="FFFFFF"/>
              <w:spacing w:beforeAutospacing="1"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20</w:t>
            </w:r>
          </w:p>
        </w:tc>
      </w:tr>
      <w:tr w:rsidR="00F83988">
        <w:trPr>
          <w:trHeight w:val="51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F83988">
            <w:pPr>
              <w:pStyle w:val="af0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lang w:val="uk-UA" w:bidi="hi-IN"/>
              </w:rPr>
              <w:t xml:space="preserve">Відвал швидко знімний, оборотний, обладнаний </w:t>
            </w:r>
            <w:proofErr w:type="spellStart"/>
            <w:r>
              <w:rPr>
                <w:lang w:val="uk-UA" w:bidi="hi-IN"/>
              </w:rPr>
              <w:t>тех.пластиною</w:t>
            </w:r>
            <w:proofErr w:type="spellEnd"/>
            <w:r>
              <w:rPr>
                <w:lang w:val="uk-UA" w:bidi="hi-IN"/>
              </w:rPr>
              <w:t xml:space="preserve">/бульдозерним </w:t>
            </w:r>
            <w:proofErr w:type="spellStart"/>
            <w:r>
              <w:rPr>
                <w:lang w:val="uk-UA" w:bidi="hi-IN"/>
              </w:rPr>
              <w:t>ножем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88" w:rsidRDefault="00894AA1">
            <w:pPr>
              <w:pStyle w:val="af0"/>
              <w:spacing w:after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</w:tbl>
    <w:p w:rsidR="00F83988" w:rsidRDefault="00F83988">
      <w:pPr>
        <w:pStyle w:val="ae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988" w:rsidRDefault="00F83988">
      <w:pPr>
        <w:rPr>
          <w:rFonts w:ascii="Times New Roman" w:hAnsi="Times New Roman"/>
          <w:sz w:val="24"/>
          <w:szCs w:val="24"/>
          <w:lang w:val="uk-UA"/>
        </w:rPr>
      </w:pPr>
    </w:p>
    <w:sectPr w:rsidR="00F8398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88"/>
    <w:rsid w:val="001220BF"/>
    <w:rsid w:val="003560B9"/>
    <w:rsid w:val="00381DC1"/>
    <w:rsid w:val="003A58F0"/>
    <w:rsid w:val="00521949"/>
    <w:rsid w:val="00894AA1"/>
    <w:rsid w:val="008C3770"/>
    <w:rsid w:val="00A47EDE"/>
    <w:rsid w:val="00BF4550"/>
    <w:rsid w:val="00D743BC"/>
    <w:rsid w:val="00D77B79"/>
    <w:rsid w:val="00F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9E70"/>
  <w15:docId w15:val="{16ABED81-0419-4888-B498-1430FC2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character" w:styleId="a4">
    <w:name w:val="Strong"/>
    <w:uiPriority w:val="22"/>
    <w:qFormat/>
    <w:rsid w:val="00897BF9"/>
    <w:rPr>
      <w:b/>
      <w:bCs/>
    </w:rPr>
  </w:style>
  <w:style w:type="character" w:styleId="a5">
    <w:name w:val="Emphasis"/>
    <w:uiPriority w:val="20"/>
    <w:qFormat/>
    <w:rsid w:val="00897BF9"/>
    <w:rPr>
      <w:i/>
      <w:iCs/>
    </w:rPr>
  </w:style>
  <w:style w:type="character" w:customStyle="1" w:styleId="st42">
    <w:name w:val="st42"/>
    <w:uiPriority w:val="99"/>
    <w:qFormat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qFormat/>
    <w:rsid w:val="007654DA"/>
    <w:rPr>
      <w:color w:val="605E5C"/>
      <w:shd w:val="clear" w:color="auto" w:fill="E1DFDD"/>
    </w:rPr>
  </w:style>
  <w:style w:type="character" w:customStyle="1" w:styleId="a6">
    <w:name w:val="Текст у виносці Знак"/>
    <w:link w:val="a7"/>
    <w:uiPriority w:val="99"/>
    <w:semiHidden/>
    <w:qFormat/>
    <w:rsid w:val="008F7BC0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qFormat/>
    <w:rsid w:val="00D24F3A"/>
    <w:rPr>
      <w:sz w:val="16"/>
      <w:szCs w:val="16"/>
    </w:rPr>
  </w:style>
  <w:style w:type="character" w:customStyle="1" w:styleId="a9">
    <w:name w:val="Текст примітки Знак"/>
    <w:link w:val="aa"/>
    <w:uiPriority w:val="99"/>
    <w:semiHidden/>
    <w:qFormat/>
    <w:rsid w:val="00D24F3A"/>
    <w:rPr>
      <w:sz w:val="20"/>
      <w:szCs w:val="20"/>
    </w:rPr>
  </w:style>
  <w:style w:type="character" w:customStyle="1" w:styleId="ab">
    <w:name w:val="Тема примітки Знак"/>
    <w:link w:val="ac"/>
    <w:uiPriority w:val="99"/>
    <w:semiHidden/>
    <w:qFormat/>
    <w:rsid w:val="00D24F3A"/>
    <w:rPr>
      <w:b/>
      <w:bCs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205AAD"/>
    <w:rPr>
      <w:rFonts w:ascii="Courier New" w:eastAsia="Times New Roman" w:hAnsi="Courier New"/>
      <w:color w:val="000000"/>
      <w:sz w:val="23"/>
      <w:szCs w:val="23"/>
    </w:rPr>
  </w:style>
  <w:style w:type="character" w:customStyle="1" w:styleId="ad">
    <w:name w:val="Абзац списку Знак"/>
    <w:link w:val="ae"/>
    <w:uiPriority w:val="34"/>
    <w:qFormat/>
    <w:locked/>
    <w:rsid w:val="00205AAD"/>
    <w:rPr>
      <w:sz w:val="22"/>
      <w:szCs w:val="22"/>
      <w:lang w:eastAsia="en-US"/>
    </w:rPr>
  </w:style>
  <w:style w:type="character" w:customStyle="1" w:styleId="h-address-formatter">
    <w:name w:val="h-address-formatter"/>
    <w:uiPriority w:val="99"/>
    <w:qFormat/>
    <w:rsid w:val="00A34BF8"/>
  </w:style>
  <w:style w:type="character" w:customStyle="1" w:styleId="af">
    <w:name w:val="Звичайний (веб) Знак"/>
    <w:link w:val="af0"/>
    <w:uiPriority w:val="99"/>
    <w:qFormat/>
    <w:locked/>
    <w:rsid w:val="00B56AF6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qacpvname">
    <w:name w:val="qa_cpv_name"/>
    <w:qFormat/>
    <w:rsid w:val="00B56AF6"/>
  </w:style>
  <w:style w:type="character" w:customStyle="1" w:styleId="tm81">
    <w:name w:val="tm81"/>
    <w:uiPriority w:val="99"/>
    <w:qFormat/>
    <w:rsid w:val="00B56AF6"/>
    <w:rPr>
      <w:b/>
      <w:sz w:val="24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5">
    <w:name w:val="Покажчик"/>
    <w:basedOn w:val="a"/>
    <w:qFormat/>
    <w:pPr>
      <w:suppressLineNumbers/>
    </w:pPr>
    <w:rPr>
      <w:rFonts w:cs="Arial"/>
    </w:rPr>
  </w:style>
  <w:style w:type="paragraph" w:customStyle="1" w:styleId="rvps12">
    <w:name w:val="rvps12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link w:val="ad"/>
    <w:uiPriority w:val="34"/>
    <w:qFormat/>
    <w:rsid w:val="00B413F2"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qFormat/>
    <w:rsid w:val="00BD54B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val="en-US" w:eastAsia="zh-CN" w:bidi="hi-IN"/>
    </w:rPr>
  </w:style>
  <w:style w:type="paragraph" w:styleId="a7">
    <w:name w:val="Balloon Text"/>
    <w:basedOn w:val="a"/>
    <w:link w:val="a6"/>
    <w:uiPriority w:val="99"/>
    <w:semiHidden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9"/>
    <w:uiPriority w:val="99"/>
    <w:semiHidden/>
    <w:unhideWhenUsed/>
    <w:qFormat/>
    <w:rsid w:val="00D24F3A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D24F3A"/>
    <w:rPr>
      <w:b/>
      <w:bCs/>
    </w:rPr>
  </w:style>
  <w:style w:type="paragraph" w:styleId="HTML0">
    <w:name w:val="HTML Preformatted"/>
    <w:basedOn w:val="a"/>
    <w:link w:val="HTML"/>
    <w:uiPriority w:val="99"/>
    <w:qFormat/>
    <w:rsid w:val="0020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3"/>
      <w:szCs w:val="23"/>
      <w:lang w:eastAsia="ru-RU"/>
    </w:rPr>
  </w:style>
  <w:style w:type="paragraph" w:styleId="af0">
    <w:name w:val="Normal (Web)"/>
    <w:basedOn w:val="a"/>
    <w:link w:val="af"/>
    <w:uiPriority w:val="99"/>
    <w:unhideWhenUsed/>
    <w:qFormat/>
    <w:rsid w:val="003D7C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f6">
    <w:name w:val="No Spacing"/>
    <w:uiPriority w:val="1"/>
    <w:qFormat/>
    <w:rsid w:val="003D7C58"/>
    <w:rPr>
      <w:sz w:val="22"/>
      <w:szCs w:val="22"/>
      <w:lang w:val="uk-UA" w:eastAsia="en-US"/>
    </w:rPr>
  </w:style>
  <w:style w:type="paragraph" w:customStyle="1" w:styleId="tm7">
    <w:name w:val="tm7"/>
    <w:uiPriority w:val="99"/>
    <w:qFormat/>
    <w:rsid w:val="00B56AF6"/>
    <w:pPr>
      <w:spacing w:before="20" w:after="20"/>
      <w:ind w:left="720" w:hanging="360"/>
      <w:jc w:val="both"/>
    </w:pPr>
    <w:rPr>
      <w:rFonts w:eastAsia="Times New Roman" w:cs="Calibri"/>
      <w:color w:val="000000"/>
      <w:sz w:val="24"/>
      <w:szCs w:val="24"/>
      <w:lang w:eastAsia="zh-CN"/>
    </w:rPr>
  </w:style>
  <w:style w:type="table" w:styleId="af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25DE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1F9A-DC9E-4A37-87EE-95D2F16A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4201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Адмін</cp:lastModifiedBy>
  <cp:revision>67</cp:revision>
  <cp:lastPrinted>2023-11-10T12:24:00Z</cp:lastPrinted>
  <dcterms:created xsi:type="dcterms:W3CDTF">2023-05-16T20:48:00Z</dcterms:created>
  <dcterms:modified xsi:type="dcterms:W3CDTF">2024-02-16T13:47:00Z</dcterms:modified>
  <dc:language>uk-UA</dc:language>
</cp:coreProperties>
</file>