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right"/>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Додаток № </w:t>
      </w:r>
      <w:r>
        <w:rPr>
          <w:rFonts w:eastAsia="Calibri" w:cs="Times New Roman" w:ascii="Times New Roman" w:hAnsi="Times New Roman"/>
          <w:b/>
          <w:sz w:val="24"/>
          <w:szCs w:val="24"/>
        </w:rPr>
        <w:t>6</w:t>
      </w:r>
    </w:p>
    <w:p>
      <w:pPr>
        <w:pStyle w:val="Normal"/>
        <w:spacing w:lineRule="auto" w:line="276" w:before="0" w:after="0"/>
        <w:jc w:val="right"/>
        <w:rPr>
          <w:rFonts w:ascii="Times New Roman" w:hAnsi="Times New Roman" w:eastAsia="Calibri" w:cs="Times New Roman"/>
          <w:b/>
          <w:b/>
          <w:sz w:val="24"/>
          <w:szCs w:val="24"/>
        </w:rPr>
      </w:pPr>
      <w:r>
        <w:rPr>
          <w:rFonts w:eastAsia="Calibri" w:cs="Times New Roman" w:ascii="Times New Roman" w:hAnsi="Times New Roman"/>
          <w:b/>
          <w:sz w:val="24"/>
          <w:szCs w:val="24"/>
        </w:rPr>
        <w:t>до тендерної документації</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ПРОЄКТ  </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договору</w:t>
      </w:r>
    </w:p>
    <w:p>
      <w:pPr>
        <w:pStyle w:val="Normal"/>
        <w:spacing w:lineRule="auto" w:line="240" w:before="0" w:after="0"/>
        <w:jc w:val="center"/>
        <w:rPr>
          <w:rFonts w:ascii="Times New Roman" w:hAnsi="Times New Roman" w:eastAsia="Calibri" w:cs="Times New Roman"/>
          <w:sz w:val="24"/>
          <w:szCs w:val="24"/>
        </w:rPr>
      </w:pPr>
      <w:r>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м. Київ</w:t>
        <w:tab/>
        <w:tab/>
        <w:tab/>
        <w:tab/>
        <w:tab/>
        <w:tab/>
        <w:tab/>
        <w:t xml:space="preserve">                             ____.____.202</w:t>
      </w:r>
      <w:r>
        <w:rPr>
          <w:rFonts w:eastAsia="Calibri" w:cs="Times New Roman" w:ascii="Times New Roman" w:hAnsi="Times New Roman"/>
          <w:sz w:val="24"/>
          <w:szCs w:val="24"/>
        </w:rPr>
        <w:t>4</w:t>
      </w:r>
      <w:r>
        <w:rPr>
          <w:rFonts w:eastAsia="Calibri" w:cs="Times New Roman" w:ascii="Times New Roman" w:hAnsi="Times New Roman"/>
          <w:sz w:val="24"/>
          <w:szCs w:val="24"/>
        </w:rPr>
        <w:t xml:space="preserve"> р.</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76" w:before="0" w:after="200"/>
        <w:ind w:firstLine="709"/>
        <w:jc w:val="both"/>
        <w:rPr>
          <w:rFonts w:ascii="Times New Roman" w:hAnsi="Times New Roman" w:eastAsia="Calibri" w:cs="Times New Roman"/>
          <w:sz w:val="24"/>
          <w:szCs w:val="24"/>
        </w:rPr>
      </w:pPr>
      <w:r>
        <w:rPr>
          <w:rFonts w:eastAsia="Calibri" w:cs="Times New Roman" w:ascii="Times New Roman" w:hAnsi="Times New Roman"/>
          <w:b/>
          <w:sz w:val="24"/>
          <w:szCs w:val="24"/>
        </w:rPr>
        <w:t>Управління освіти Подільської районної в місті Києві державної адміністрації</w:t>
      </w:r>
      <w:r>
        <w:rPr>
          <w:rFonts w:eastAsia="Calibri" w:cs="Times New Roman" w:ascii="Times New Roman" w:hAnsi="Times New Roman"/>
          <w:sz w:val="24"/>
          <w:szCs w:val="24"/>
        </w:rPr>
        <w:t xml:space="preserve"> (ЕІС-код: _________________), (надалі – «Споживач»), в особі _____________________________________________-, який діє на підставі Положення, з однієї сторони і _____________________________________ (ЕІС-код: __________________), що здійснює діяльність на підставі _______________________________ (надалі – «Постачальник»), в особі _____________________________, який діє на підставі ______________________, з іншої сторони,</w:t>
      </w:r>
      <w:r>
        <w:rPr/>
        <w:t xml:space="preserve"> </w:t>
      </w:r>
      <w:r>
        <w:rPr>
          <w:rFonts w:eastAsia="Calibri" w:cs="Times New Roman" w:ascii="Times New Roman" w:hAnsi="Times New Roman"/>
          <w:sz w:val="24"/>
          <w:szCs w:val="24"/>
        </w:rPr>
        <w:t>відповідно до Господарського кодексу України, Цивільного кодексу України, Закону України «Про публічні закупівлі»,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Терміни, що використовуються в даному Договорі:</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Газова доба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ЕІС-коди – персональні коди ідентифікації Споживача та Постачальника як суб’єктів ринку природного газу.</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Оператор газорозподільних систем (далі – Оператор ГРМ)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Оператор газотранспортної системи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Регулятор – національна комісія, що здійснює державне регулювання у сферах енергетики та комунальних послуг.</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Кодекс ГТС – Кодекс газотранспортної системи, затверджений Постановою НКРЕКП від 30.09.15 № 2493.</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Кодекс ГРМ –  Кодекс газорозподільних систем, затверджений Постановою НКРЕКП від 30.09.15 № 2494.</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Правила постачання газу – Правила постачання природного газу, затверджені Постановою НКРЕКП від 30.09.15 № 2496.</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1. Предмет договору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1.1 Постачальник зобов’язується протягом строку дії даного Договору постачати Споживачеві товар у загальному потоці у внутрішній точці виходу з газотранспортної системи  по предмету закупівлі згідно  ЄЗС  ДК 021:2015 – 09120000-6 «Газове паливо» (</w:t>
      </w:r>
      <w:r>
        <w:rPr>
          <w:rFonts w:eastAsia="Calibri" w:cs="Times New Roman" w:ascii="Times New Roman" w:hAnsi="Times New Roman"/>
          <w:sz w:val="24"/>
          <w:szCs w:val="24"/>
        </w:rPr>
        <w:t>П</w:t>
      </w:r>
      <w:r>
        <w:rPr>
          <w:rFonts w:eastAsia="Calibri" w:cs="Times New Roman" w:ascii="Times New Roman" w:hAnsi="Times New Roman"/>
          <w:sz w:val="24"/>
          <w:szCs w:val="24"/>
        </w:rPr>
        <w:t>риродн</w:t>
      </w:r>
      <w:r>
        <w:rPr>
          <w:rFonts w:eastAsia="Calibri" w:cs="Times New Roman" w:ascii="Times New Roman" w:hAnsi="Times New Roman"/>
          <w:sz w:val="24"/>
          <w:szCs w:val="24"/>
        </w:rPr>
        <w:t>ий</w:t>
      </w:r>
      <w:r>
        <w:rPr>
          <w:rFonts w:eastAsia="Calibri" w:cs="Times New Roman" w:ascii="Times New Roman" w:hAnsi="Times New Roman"/>
          <w:sz w:val="24"/>
          <w:szCs w:val="24"/>
        </w:rPr>
        <w:t xml:space="preserve"> газ).</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За цим Договором Постачальник зобов’язується постачати природний газ Споживачу, а Споживач зобов’язується своєчасно сплачувати Постачальнику вартість природного газу у розмірі, строки та порядку, що визначені цим Договором.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1.2. Якість природного газу має відповідати вимогам, визначеним в Кодексі газотранспортної системи (далі – «Кодекс ГТС») та нормативно-правових актах і відповідних стандартах, на які Кодекс ГТС містить посилання.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1.3. Обов’язковою умовою для постачання природного газу Споживачу, об’єкт якого підключений до газорозподільної системи, є наявність у споживача, об’єкт якого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1.4. Відносини Сторін, що є предметом цього Договору, але не врегульовані ним, регулюються згідно із Законом України «Про ринок природного газу», Правилами постачання природного газу, Кодексом ГТС, Кодексом газорозподільних систем (далі – Кодекс ГРМ).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 Обсяг газу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2.1. Постачальник передає Споживачу газ в обсягах </w:t>
      </w:r>
      <w:r>
        <w:rPr>
          <w:rFonts w:eastAsia="Calibri" w:cs="Times New Roman" w:ascii="Times New Roman" w:hAnsi="Times New Roman"/>
          <w:sz w:val="24"/>
          <w:szCs w:val="24"/>
        </w:rPr>
        <w:t>11,000</w:t>
      </w:r>
      <w:r>
        <w:rPr>
          <w:rFonts w:eastAsia="Calibri" w:cs="Times New Roman" w:ascii="Times New Roman" w:hAnsi="Times New Roman"/>
          <w:sz w:val="24"/>
          <w:szCs w:val="24"/>
        </w:rPr>
        <w:t xml:space="preserve"> тис.м³ Газу, в тому числі по місяцях:</w:t>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20"/>
        <w:gridCol w:w="1170"/>
        <w:gridCol w:w="2160"/>
        <w:gridCol w:w="900"/>
        <w:gridCol w:w="2522"/>
        <w:gridCol w:w="1196"/>
      </w:tblGrid>
      <w:tr>
        <w:trPr/>
        <w:tc>
          <w:tcPr>
            <w:tcW w:w="279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ІІ квартал</w:t>
            </w:r>
          </w:p>
        </w:tc>
        <w:tc>
          <w:tcPr>
            <w:tcW w:w="30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ІІІ квартал</w:t>
            </w:r>
          </w:p>
        </w:tc>
        <w:tc>
          <w:tcPr>
            <w:tcW w:w="37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IV квартал</w:t>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квітень</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0,500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липень</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1,000</w:t>
            </w:r>
          </w:p>
        </w:tc>
        <w:tc>
          <w:tcPr>
            <w:tcW w:w="2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жовтень</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1,600</w:t>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травень</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1,500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серпень</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1,000</w:t>
            </w:r>
          </w:p>
        </w:tc>
        <w:tc>
          <w:tcPr>
            <w:tcW w:w="2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листопад</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1,600</w:t>
            </w:r>
          </w:p>
        </w:tc>
      </w:tr>
      <w:tr>
        <w:trPr/>
        <w:tc>
          <w:tcPr>
            <w:tcW w:w="1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червень</w:t>
            </w:r>
          </w:p>
        </w:tc>
        <w:tc>
          <w:tcPr>
            <w:tcW w:w="11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1,200</w:t>
            </w:r>
          </w:p>
        </w:tc>
        <w:tc>
          <w:tcPr>
            <w:tcW w:w="2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вересень</w:t>
            </w:r>
          </w:p>
        </w:tc>
        <w:tc>
          <w:tcPr>
            <w:tcW w:w="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1,600</w:t>
            </w:r>
          </w:p>
        </w:tc>
        <w:tc>
          <w:tcPr>
            <w:tcW w:w="2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грудень</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1,000</w:t>
            </w:r>
          </w:p>
        </w:tc>
      </w:tr>
      <w:tr>
        <w:trPr/>
        <w:tc>
          <w:tcPr>
            <w:tcW w:w="956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11,000</w:t>
            </w:r>
            <w:r>
              <w:rPr>
                <w:rFonts w:eastAsia="Calibri" w:cs="Times New Roman" w:ascii="Times New Roman" w:hAnsi="Times New Roman"/>
                <w:sz w:val="24"/>
                <w:szCs w:val="24"/>
              </w:rPr>
              <w:t xml:space="preserve"> тис.м³</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2.2. Обсяги закупівлі Товару можуть бути зменшені залежно від реального фінансування видатків та потреб Покупця.</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3. Умови постачання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3.1. Постачальник передає природний газ Споживачу, об’єкт якого підключений до газорозподільної системи, в точках виходу газотранспортної системи до відповідної газорозподільної системи.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3.2. На Постачальника не покладаються обов’язки щодо оформлення відносин з Оператором ГРМ та витрати з розподілу природного газу, що передається за цим Договором Споживачу, об’єкт якого підключений до газорозподільної системи. Споживач несе всі витрати за розподіл природного газу мережами відповідного Оператора ГРМ.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На Постачальника не покладаються обов’язки щодо оформлення відносин з Оператором ГТС та витрати з транспортування природного газу, що передається за цим Договором Споживачу, об’єкт якого підключений до газотранспортної системи. Споживач несе всі витрати на транспортування природного газу мережами Оператора ГТС.</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4. Ціна договору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4.1. Ціна Газу на момент укладення договору становить: ___________ грн. за 1 000,00 м³, крім того ПДВ – ________ грн., всього з ПДВ – ________ грн.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ціну газу включені всі витрати Постачальника, включаючи вартість самого Товару та його транспортування для внутрішніх точок виходу ГТС, з урахуванням податків і зборів (в тому числі податку на додану вартість (ПДВ), у разі якщо Постачальник є платником ПДВ, що сплачуються або мають бути сплачені.</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4.2. Загальна сума договору становить: ___________ грн. (__________________________), в т.ч. ПДВ –  _________ грн. (_________________________).</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4.3. Моментом оплати вважається день надходження грошових коштів на рахунок Постачальника.</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4.4. Зміна ціни Газу визначається в додаткових угодах до даного Договору.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4.5. Ціна Газу протягом розрахункового періоду може бути змінена за взаємною згодою Сторін, з обов’язковим оформленням додаткової угоди.</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5. Умови оплати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5.1. Оплата здійснюється на підставі частини 1 ст.49 Бюджетного кодексу України після постачання товару за рахунок коштів бюджету міста Києва.</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5.2. Оплата за поставлений Газ проводиться на підставі акту надання послуг на постачання Газу.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5.3. У разі наявності переплати Постачальник зобов’язаний повернути Споживачу, надмірно сплачену останнім суму протягом 3-х банківських днів.</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6. Права та обов’язки сторін</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6.1. Споживач має право:</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 отримувати природний газ на умовах, зазначених у цьому Договорі;</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 отримувати інформацію про ціну природного газу, про обсяги та інші показання власного споживання природного газу;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3)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 провести звіряння фактичних розрахунків з підписанням відповідного акту;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6) на дострокове розірвання Договору, якщо Постачальник повідомив Споживача про намір внесення змін до Договору в частині умов постачання та нові умови постачання виявилися для нього неприйнятними;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7) інші права, передбачені чинними нормативно-правовими актами і цим Договором.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6.2. Споживач зобов’язується: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 забезпечувати своєчасну та повну оплату поставленого природного газу  згідно з умовами цього Договору;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 укласти в установленому порядку договір розподілу/транспортування природного газу з Оператором ГРМ/ГТС для набуття права на правомірний відбір газу із газорозподільної/газотранспортної системи та фізичну доставку газу до межі балансової належності об’єкта Споживача;</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3) самостійно контролювати власне газоспоживання та не допускати несанкціонованого відбору природного газу;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 не допускати перевищення підтвердженого обсягу природного газу в розрахунковому періоді шляхом самостійного і завчасного обмеження (припинення) власного газоспоживання;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5) не пізніше наступного робочого дня після укладення договору постачання з новим постачальником письмово повідомити про це Постачальника та розрахуватися з ним за спожитий природний газ у строки, передбачені цим Договором;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6) безперешкодно допускати на свою територію, у приміщення, де розташовані вузли обліку газу, прилади обліку газу, лічильники газу тощо, представників Постачальника після пред’явлення ними службових посвідчень або відповідних довіреностей на вчинення вказаних дій для звіряння показань фактично використаних обсягів природного газу;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7) відшкодовувати Постачальнику збитки, понесені ним у зв’язку з невиконанням або неналежним виконанням Споживачем свої зобов’язань перед Постачальником, що покладені на нього чиним законодавством та/або цим Договором;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8) виконувати інші обов’язки, покладені на Споживача чинним законодавством та/або цим Договором.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6.3. Постачальник має право:</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 отримувати від Споживача плату за поставлений природний газ відповідно до умов даного Договору;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 контролювати правильність оформлення Споживачем платіжних документів;</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3) ініціювати припинення постачання природного газу Споживачу у порядку та на умовах, визначених цим Договором та чинним законодавством;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5) проводити разом із Споживачем звіряння фактично використаних обсягів природного газу;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6) на повну і достовірну інформацію від Споживача щодо режимів вибірки (споживання) природного газу;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7) ініціювати/вживати заходів з припинення або обмеження в установленому порядку постачання природного газу Споживачу в разі: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проведення Споживачем неповних або несвоєчасних розрахунків за Договором;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розірвання договору постачання природного газу;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відмови від підписання акту приймання-передачі без відповідного письмового обґрунтування;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в інших випадках, передбачених Законом України «Про ринок природного газу», Кодексом ГТС, Кодексом ГРС, Правилами безпеки систем газопостачання.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8) інші права, передбачені чинними нормативно-правовими актами і цим Договором.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6.4. Постачальник зобов’язується: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 забезпечувати постачання природного газу на умовах та в обсягах, визначених цим Договором, за умови дотримання Споживачем дисципліни відбору природного газу та розрахунків за нього;</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3) за умови дотримання Споживачем умов Договору, забезпечити своєчасну реєстрацію Споживача у власному Реєстрі споживачів (на інформаційній платформі Оператор ГТС) у відповідному розрахунковому періоді.3)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 виконувати інші обов’язки, покладені на Постачальника чинним законодавством та/або цим Договором.</w:t>
      </w:r>
    </w:p>
    <w:p>
      <w:pPr>
        <w:pStyle w:val="Normal"/>
        <w:spacing w:lineRule="auto" w:line="240" w:before="0" w:after="0"/>
        <w:jc w:val="center"/>
        <w:rPr>
          <w:rFonts w:ascii="Times New Roman" w:hAnsi="Times New Roman" w:eastAsia="Calibri" w:cs="Times New Roman"/>
          <w:b/>
          <w:b/>
          <w:sz w:val="24"/>
          <w:szCs w:val="24"/>
        </w:rPr>
      </w:pPr>
      <w:bookmarkStart w:id="0" w:name="n125"/>
      <w:bookmarkEnd w:id="0"/>
      <w:r>
        <w:rPr>
          <w:rFonts w:eastAsia="Calibri" w:cs="Times New Roman" w:ascii="Times New Roman" w:hAnsi="Times New Roman"/>
          <w:b/>
          <w:sz w:val="24"/>
          <w:szCs w:val="24"/>
        </w:rPr>
        <w:t>7. Відповідальність сторін</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7.1.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7.2. В разі порушення Споживачем порядку та строків оплати поставленого Постачальником природного газу Споживач сплачує Постачальнику пеню в розмірі подвійної облікової ставки НБУ, що діяла в період, за який сплачується пеня за кожний день прострочення.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7.3. Стягнення пені до Споживача не застосовується у разі:</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наданих бюджетних асигнувань;</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тимчасового зупинення операцій з бюджетними коштами у межах поточного бюджетного періоду;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відсутності коштів на єдиному казначейському рахунку на здійснення закупівля Товару;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не проведення платежів органами Державної казначейської служби України.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7.4. Сплата штрафних санкцій не звільняє Сторони від взятих на себе зобов’язань, відповідно до умов даного Договору.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7.5. Постачальник звільняється від відповідальності за часткове або повне невиконання обов’язків по даному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7.6.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8. Порядок вирішення спорів</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8.2. У разі недосягнення Сторонами згоди спори (розбіжності) вирішуються у судовому порядку.</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9. Внесення змін</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9.1. Договір укладається відповідно до норм </w:t>
      </w:r>
      <w:hyperlink r:id="rId2" w:tgtFrame="_blank">
        <w:r>
          <w:rPr>
            <w:rFonts w:eastAsia="Calibri" w:cs="Times New Roman" w:ascii="Times New Roman" w:hAnsi="Times New Roman"/>
            <w:color w:val="0000FF"/>
            <w:sz w:val="24"/>
            <w:szCs w:val="24"/>
            <w:u w:val="single"/>
          </w:rPr>
          <w:t>Цивільного</w:t>
        </w:r>
      </w:hyperlink>
      <w:r>
        <w:rPr>
          <w:rFonts w:eastAsia="Calibri" w:cs="Times New Roman" w:ascii="Times New Roman" w:hAnsi="Times New Roman"/>
          <w:sz w:val="24"/>
          <w:szCs w:val="24"/>
        </w:rPr>
        <w:t xml:space="preserve"> та </w:t>
      </w:r>
      <w:hyperlink r:id="rId3" w:tgtFrame="_blank">
        <w:r>
          <w:rPr>
            <w:rFonts w:eastAsia="Calibri" w:cs="Times New Roman" w:ascii="Times New Roman" w:hAnsi="Times New Roman"/>
            <w:color w:val="0000FF"/>
            <w:sz w:val="24"/>
            <w:szCs w:val="24"/>
            <w:u w:val="single"/>
          </w:rPr>
          <w:t>Господарського кодексів України</w:t>
        </w:r>
      </w:hyperlink>
      <w:r>
        <w:rPr>
          <w:rFonts w:eastAsia="Calibri" w:cs="Times New Roman" w:ascii="Times New Roman" w:hAnsi="Times New Roman"/>
          <w:sz w:val="24"/>
          <w:szCs w:val="24"/>
        </w:rPr>
        <w:t xml:space="preserve"> з урахуванням особливостей, визначених Законом України «Про публічні закупівлі»</w:t>
      </w:r>
      <w:bookmarkStart w:id="1" w:name="n577"/>
      <w:bookmarkEnd w:id="1"/>
      <w:r>
        <w:rPr>
          <w:rFonts w:eastAsia="Calibri" w:cs="Times New Roman" w:ascii="Times New Roman" w:hAnsi="Times New Roman"/>
          <w:sz w:val="24"/>
          <w:szCs w:val="24"/>
        </w:rPr>
        <w:t>.</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9.2. Істотні умови Договору не можуть змінюватися після його підписання до виконання зобов'язань Сторонами в повному обсязі, крім випадків:</w:t>
      </w:r>
    </w:p>
    <w:p>
      <w:pPr>
        <w:pStyle w:val="Normal"/>
        <w:shd w:val="clear" w:color="auto" w:fill="FFFFFF"/>
        <w:spacing w:lineRule="auto" w:line="240" w:before="0" w:after="0"/>
        <w:ind w:firstLine="448"/>
        <w:jc w:val="both"/>
        <w:rPr>
          <w:rFonts w:ascii="Times New Roman" w:hAnsi="Times New Roman" w:eastAsia="Calibri" w:cs="Times New Roman"/>
          <w:sz w:val="24"/>
          <w:szCs w:val="24"/>
          <w:lang w:eastAsia="uk-UA"/>
        </w:rPr>
      </w:pPr>
      <w:bookmarkStart w:id="2" w:name="n1769"/>
      <w:bookmarkEnd w:id="2"/>
      <w:r>
        <w:rPr>
          <w:rFonts w:eastAsia="Calibri" w:cs="Times New Roman" w:ascii="Times New Roman" w:hAnsi="Times New Roman"/>
          <w:sz w:val="24"/>
          <w:szCs w:val="24"/>
          <w:lang w:eastAsia="uk-UA"/>
        </w:rPr>
        <w:t>1) зменшення обсягів закупівлі, зокрема з урахуванням фактичного обсягу видатків замовника;</w:t>
      </w:r>
    </w:p>
    <w:p>
      <w:pPr>
        <w:pStyle w:val="Normal"/>
        <w:shd w:val="clear" w:color="auto" w:fill="FFFFFF"/>
        <w:spacing w:lineRule="auto" w:line="240" w:before="0" w:after="0"/>
        <w:ind w:firstLine="448"/>
        <w:jc w:val="both"/>
        <w:rPr>
          <w:rFonts w:ascii="Times New Roman" w:hAnsi="Times New Roman" w:eastAsia="Calibri" w:cs="Times New Roman"/>
          <w:sz w:val="24"/>
          <w:szCs w:val="24"/>
          <w:lang w:eastAsia="uk-UA"/>
        </w:rPr>
      </w:pPr>
      <w:bookmarkStart w:id="3" w:name="n1770"/>
      <w:bookmarkEnd w:id="3"/>
      <w:r>
        <w:rPr>
          <w:rFonts w:eastAsia="Calibri" w:cs="Times New Roman" w:ascii="Times New Roman" w:hAnsi="Times New Roman"/>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pPr>
        <w:pStyle w:val="Normal"/>
        <w:shd w:val="clear" w:color="auto" w:fill="FFFFFF"/>
        <w:spacing w:lineRule="auto" w:line="240" w:before="0" w:after="0"/>
        <w:ind w:firstLine="448"/>
        <w:jc w:val="both"/>
        <w:rPr>
          <w:rFonts w:ascii="Times New Roman" w:hAnsi="Times New Roman" w:eastAsia="Calibri" w:cs="Times New Roman"/>
          <w:sz w:val="24"/>
          <w:szCs w:val="24"/>
          <w:lang w:eastAsia="uk-UA"/>
        </w:rPr>
      </w:pPr>
      <w:bookmarkStart w:id="4" w:name="n1771"/>
      <w:bookmarkStart w:id="5" w:name="n2101"/>
      <w:bookmarkEnd w:id="4"/>
      <w:bookmarkEnd w:id="5"/>
      <w:r>
        <w:rPr>
          <w:rFonts w:eastAsia="Calibri" w:cs="Times New Roman"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hd w:val="clear" w:color="auto" w:fill="FFFFFF"/>
        <w:spacing w:lineRule="auto" w:line="240" w:before="0" w:after="0"/>
        <w:ind w:firstLine="448"/>
        <w:jc w:val="both"/>
        <w:rPr>
          <w:rFonts w:ascii="Times New Roman" w:hAnsi="Times New Roman" w:eastAsia="Calibri" w:cs="Times New Roman"/>
          <w:sz w:val="24"/>
          <w:szCs w:val="24"/>
          <w:lang w:eastAsia="uk-UA"/>
        </w:rPr>
      </w:pPr>
      <w:bookmarkStart w:id="6" w:name="n1772"/>
      <w:bookmarkEnd w:id="6"/>
      <w:r>
        <w:rPr>
          <w:rFonts w:eastAsia="Calibri" w:cs="Times New Roman"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hd w:val="clear" w:color="auto" w:fill="FFFFFF"/>
        <w:spacing w:lineRule="auto" w:line="240" w:before="0" w:after="0"/>
        <w:ind w:firstLine="448"/>
        <w:jc w:val="both"/>
        <w:rPr>
          <w:rFonts w:ascii="Times New Roman" w:hAnsi="Times New Roman" w:eastAsia="Calibri" w:cs="Times New Roman"/>
          <w:sz w:val="24"/>
          <w:szCs w:val="24"/>
          <w:lang w:eastAsia="uk-UA"/>
        </w:rPr>
      </w:pPr>
      <w:bookmarkStart w:id="7" w:name="n1773"/>
      <w:bookmarkEnd w:id="7"/>
      <w:r>
        <w:rPr>
          <w:rFonts w:eastAsia="Calibri" w:cs="Times New Roman"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shd w:val="clear" w:color="auto" w:fill="FFFFFF"/>
        <w:spacing w:lineRule="auto" w:line="240" w:before="0" w:after="0"/>
        <w:ind w:firstLine="448"/>
        <w:jc w:val="both"/>
        <w:rPr>
          <w:rFonts w:ascii="Times New Roman" w:hAnsi="Times New Roman" w:eastAsia="Calibri" w:cs="Times New Roman"/>
          <w:sz w:val="24"/>
          <w:szCs w:val="24"/>
          <w:lang w:eastAsia="uk-UA"/>
        </w:rPr>
      </w:pPr>
      <w:bookmarkStart w:id="8" w:name="n1774"/>
      <w:bookmarkEnd w:id="8"/>
      <w:r>
        <w:rPr>
          <w:rFonts w:eastAsia="Calibri" w:cs="Times New Roman" w:ascii="Times New Roman" w:hAnsi="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shd w:val="clear" w:color="auto" w:fill="FFFFFF"/>
        <w:spacing w:lineRule="auto" w:line="240" w:before="0" w:after="0"/>
        <w:ind w:firstLine="448"/>
        <w:jc w:val="both"/>
        <w:rPr>
          <w:rFonts w:ascii="Times New Roman" w:hAnsi="Times New Roman" w:eastAsia="Calibri" w:cs="Times New Roman"/>
          <w:sz w:val="24"/>
          <w:szCs w:val="24"/>
          <w:lang w:eastAsia="uk-UA"/>
        </w:rPr>
      </w:pPr>
      <w:bookmarkStart w:id="9" w:name="n1775"/>
      <w:bookmarkEnd w:id="9"/>
      <w:r>
        <w:rPr>
          <w:rFonts w:eastAsia="Calibri" w:cs="Times New Roman" w:ascii="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spacing w:lineRule="auto" w:line="240" w:before="0" w:after="0"/>
        <w:jc w:val="both"/>
        <w:rPr>
          <w:rFonts w:ascii="Times New Roman" w:hAnsi="Times New Roman" w:eastAsia="Calibri" w:cs="Times New Roman"/>
          <w:sz w:val="24"/>
          <w:szCs w:val="24"/>
          <w:lang w:eastAsia="uk-UA"/>
        </w:rPr>
      </w:pPr>
      <w:bookmarkStart w:id="10" w:name="n1778"/>
      <w:bookmarkStart w:id="11" w:name="n2102"/>
      <w:bookmarkStart w:id="12" w:name="n1776"/>
      <w:bookmarkEnd w:id="10"/>
      <w:bookmarkEnd w:id="11"/>
      <w:bookmarkEnd w:id="12"/>
      <w:r>
        <w:rPr>
          <w:rFonts w:eastAsia="Calibri" w:cs="Times New Roman" w:ascii="Times New Roman" w:hAnsi="Times New Roman"/>
          <w:sz w:val="24"/>
          <w:szCs w:val="24"/>
          <w:lang w:eastAsia="uk-UA"/>
        </w:rPr>
        <w:t>9.3.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shd w:val="clear" w:color="auto" w:fill="FFFFFF"/>
        <w:spacing w:lineRule="auto" w:line="240" w:before="0" w:after="0"/>
        <w:jc w:val="both"/>
        <w:rPr>
          <w:rFonts w:ascii="Times New Roman" w:hAnsi="Times New Roman" w:eastAsia="Calibri" w:cs="Times New Roman"/>
          <w:sz w:val="24"/>
          <w:szCs w:val="24"/>
          <w:lang w:eastAsia="uk-UA"/>
        </w:rPr>
      </w:pPr>
      <w:r>
        <w:rPr>
          <w:rFonts w:eastAsia="Calibri" w:cs="Times New Roman" w:ascii="Times New Roman" w:hAnsi="Times New Roman"/>
          <w:sz w:val="24"/>
          <w:szCs w:val="24"/>
          <w:lang w:eastAsia="uk-UA"/>
        </w:rPr>
        <w:t xml:space="preserve">9.4. </w:t>
      </w:r>
      <w:r>
        <w:rPr>
          <w:rFonts w:eastAsia="Times New Roman" w:cs="Times New Roman" w:ascii="Times New Roman" w:hAnsi="Times New Roman"/>
          <w:sz w:val="24"/>
          <w:szCs w:val="24"/>
          <w:lang w:eastAsia="ar-SA"/>
        </w:rPr>
        <w:t>Внесення змін  оформляються додатковими угодами до Договору.</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10. Обставини непереборної сили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10.1.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10.2. Про настання обставин непереборної сили,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обставин непереборної сили позбавляє Сторону права посилатися на такі обставини.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10.3. Настання обставин непереборної сили не звільняє Споживача від обов‘язку оплати обсяг фактично поставленого газу.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10.4. При припиненні обставин, зазначених у пункті 11.1 Договору, Сторона повинна без зволікання, будь-якими доступними засобами письмово сповістити про них іншу Сторону. У повідомленні вказується термін, у який передбачається виконати зобов'язання за даним Договором.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10.5.</w:t>
        <w:tab/>
        <w:t>У випадках, передбачених у п.11.1 Договору, термін виконання Стороною своїх зобов'язань за даним Договором відсувається відповідно до часу, протягом якого діють такі обставини і їхні наслідки.</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11. Строк дії договору та інші умови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11.1. Цей Договір набирає чинності з дня його підписання Сторонами і його скріплення печатками Сторін і діє до 31 грудня 202</w:t>
      </w:r>
      <w:r>
        <w:rPr>
          <w:rFonts w:eastAsia="Calibri" w:cs="Times New Roman" w:ascii="Times New Roman" w:hAnsi="Times New Roman"/>
          <w:sz w:val="24"/>
          <w:szCs w:val="24"/>
        </w:rPr>
        <w:t>4</w:t>
      </w:r>
      <w:r>
        <w:rPr>
          <w:rFonts w:eastAsia="Calibri" w:cs="Times New Roman" w:ascii="Times New Roman" w:hAnsi="Times New Roman"/>
          <w:sz w:val="24"/>
          <w:szCs w:val="24"/>
        </w:rPr>
        <w:t xml:space="preserve"> року, але в будь-якому разі до повного виконання Сторонами своїх зобов’язань за цим Договором.</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11.2. Даний Договір укладено у двох примірниках рівної юридичної сили для кожної із Сторін.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та скріплені їх печатками.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11.4. Жодна із Сторін не має права передавати права та обов'язки за цим Договором третій особі без отримання письмової згоди іншої Сторони.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11.5. У випадку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 Сторона сповіщає іншу Сторону про такі зміни протягом 5 (п’яти) днів з моменту їх проведення.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11.6. Недійсність окремих положень даного Договору не тягне за собою недійсність інших положень даного Договору і Договору в цілому.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11.7. Взаємовідносини Сторін, не передбачені Договором, регулюються чинним законодавством України.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11.8. Терміни, що не визначені в цьому Договорі, мають значення, передбачені Законом України «Про ринок природного газу» та Правилами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 вересня 2015 року № 2496.</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12. Місцезнаходження та банківські реквізити сторін</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bl>
      <w:tblPr>
        <w:tblW w:w="9354" w:type="dxa"/>
        <w:jc w:val="left"/>
        <w:tblInd w:w="34" w:type="dxa"/>
        <w:tblLayout w:type="fixed"/>
        <w:tblCellMar>
          <w:top w:w="0" w:type="dxa"/>
          <w:left w:w="108" w:type="dxa"/>
          <w:bottom w:w="0" w:type="dxa"/>
          <w:right w:w="108" w:type="dxa"/>
        </w:tblCellMar>
      </w:tblPr>
      <w:tblGrid>
        <w:gridCol w:w="4962"/>
        <w:gridCol w:w="4392"/>
      </w:tblGrid>
      <w:tr>
        <w:trPr/>
        <w:tc>
          <w:tcPr>
            <w:tcW w:w="4962" w:type="dxa"/>
            <w:tcBorders/>
          </w:tcPr>
          <w:p>
            <w:pPr>
              <w:pStyle w:val="Normal"/>
              <w:suppressAutoHyphens w:val="true"/>
              <w:autoSpaceDE w:val="false"/>
              <w:jc w:val="both"/>
              <w:rPr>
                <w:rFonts w:ascii="Times New Roman" w:hAnsi="Times New Roman"/>
                <w:b/>
                <w:b/>
                <w:sz w:val="20"/>
                <w:szCs w:val="20"/>
                <w:lang w:val="uk-UA" w:eastAsia="ar-SA"/>
              </w:rPr>
            </w:pPr>
            <w:r>
              <w:rPr>
                <w:rFonts w:ascii="Times New Roman" w:hAnsi="Times New Roman"/>
                <w:b/>
                <w:sz w:val="20"/>
                <w:szCs w:val="20"/>
                <w:lang w:val="uk-UA" w:eastAsia="ar-SA"/>
              </w:rPr>
              <w:t>«</w:t>
            </w:r>
            <w:r>
              <w:rPr>
                <w:rFonts w:ascii="Times New Roman" w:hAnsi="Times New Roman"/>
                <w:b/>
                <w:sz w:val="20"/>
                <w:szCs w:val="20"/>
                <w:lang w:val="uk-UA" w:eastAsia="ar-SA"/>
              </w:rPr>
              <w:t>Споживач</w:t>
            </w:r>
            <w:r>
              <w:rPr>
                <w:rFonts w:ascii="Times New Roman" w:hAnsi="Times New Roman"/>
                <w:b/>
                <w:sz w:val="20"/>
                <w:szCs w:val="20"/>
                <w:lang w:val="uk-UA" w:eastAsia="ar-SA"/>
              </w:rPr>
              <w:t xml:space="preserve">»: </w:t>
            </w:r>
          </w:p>
          <w:p>
            <w:pPr>
              <w:pStyle w:val="Normal"/>
              <w:suppressAutoHyphens w:val="true"/>
              <w:autoSpaceDE w:val="false"/>
              <w:ind w:left="0" w:right="-285" w:hanging="0"/>
              <w:jc w:val="both"/>
              <w:rPr>
                <w:rFonts w:ascii="Times New Roman" w:hAnsi="Times New Roman"/>
                <w:sz w:val="20"/>
                <w:szCs w:val="20"/>
                <w:lang w:val="uk-UA" w:eastAsia="ar-SA"/>
              </w:rPr>
            </w:pPr>
            <w:r>
              <w:rPr>
                <w:rFonts w:ascii="Times New Roman" w:hAnsi="Times New Roman"/>
                <w:sz w:val="20"/>
                <w:szCs w:val="20"/>
                <w:lang w:val="uk-UA" w:eastAsia="ar-SA"/>
              </w:rPr>
              <w:t xml:space="preserve">Управління освіти Подільської районної в </w:t>
            </w:r>
          </w:p>
          <w:p>
            <w:pPr>
              <w:pStyle w:val="Normal"/>
              <w:suppressAutoHyphens w:val="true"/>
              <w:autoSpaceDE w:val="false"/>
              <w:ind w:left="0" w:right="-285" w:hanging="0"/>
              <w:jc w:val="both"/>
              <w:rPr>
                <w:rFonts w:ascii="Times New Roman" w:hAnsi="Times New Roman"/>
                <w:sz w:val="20"/>
                <w:szCs w:val="20"/>
                <w:lang w:val="uk-UA" w:eastAsia="ar-SA"/>
              </w:rPr>
            </w:pPr>
            <w:r>
              <w:rPr>
                <w:rFonts w:ascii="Times New Roman" w:hAnsi="Times New Roman"/>
                <w:sz w:val="20"/>
                <w:szCs w:val="20"/>
                <w:lang w:val="uk-UA" w:eastAsia="ar-SA"/>
              </w:rPr>
              <w:t>місті Києві державної адміністрації</w:t>
            </w:r>
          </w:p>
          <w:p>
            <w:pPr>
              <w:pStyle w:val="Normal"/>
              <w:tabs>
                <w:tab w:val="clear" w:pos="708"/>
                <w:tab w:val="left" w:pos="5529" w:leader="none"/>
              </w:tabs>
              <w:suppressAutoHyphens w:val="true"/>
              <w:autoSpaceDE w:val="false"/>
              <w:ind w:left="0" w:right="-285" w:hanging="0"/>
              <w:jc w:val="both"/>
              <w:rPr>
                <w:rFonts w:ascii="Times New Roman" w:hAnsi="Times New Roman"/>
                <w:sz w:val="20"/>
                <w:szCs w:val="20"/>
                <w:lang w:val="uk-UA" w:eastAsia="ar-SA"/>
              </w:rPr>
            </w:pPr>
            <w:r>
              <w:rPr>
                <w:rFonts w:ascii="Times New Roman" w:hAnsi="Times New Roman"/>
                <w:sz w:val="20"/>
                <w:szCs w:val="20"/>
                <w:lang w:val="uk-UA" w:eastAsia="ar-SA"/>
              </w:rPr>
              <w:t>ЄДРПОУ 37393777</w:t>
            </w:r>
          </w:p>
          <w:p>
            <w:pPr>
              <w:pStyle w:val="Normal"/>
              <w:suppressAutoHyphens w:val="true"/>
              <w:autoSpaceDE w:val="false"/>
              <w:ind w:left="0" w:right="-285" w:hanging="0"/>
              <w:jc w:val="both"/>
              <w:rPr>
                <w:rFonts w:ascii="Times New Roman" w:hAnsi="Times New Roman"/>
                <w:sz w:val="20"/>
                <w:szCs w:val="20"/>
                <w:lang w:val="uk-UA" w:eastAsia="ar-SA"/>
              </w:rPr>
            </w:pPr>
            <w:r>
              <w:rPr>
                <w:rFonts w:ascii="Times New Roman" w:hAnsi="Times New Roman"/>
                <w:sz w:val="20"/>
                <w:szCs w:val="20"/>
                <w:lang w:val="uk-UA" w:eastAsia="ar-SA"/>
              </w:rPr>
              <w:t>місцезнаходження: 04071, м. Київ</w:t>
            </w:r>
          </w:p>
          <w:p>
            <w:pPr>
              <w:pStyle w:val="Normal"/>
              <w:suppressAutoHyphens w:val="true"/>
              <w:autoSpaceDE w:val="false"/>
              <w:ind w:left="0" w:right="-285" w:hanging="0"/>
              <w:jc w:val="both"/>
              <w:rPr>
                <w:rFonts w:ascii="Times New Roman" w:hAnsi="Times New Roman"/>
                <w:sz w:val="20"/>
                <w:szCs w:val="20"/>
              </w:rPr>
            </w:pPr>
            <w:r>
              <w:rPr>
                <w:rFonts w:ascii="Times New Roman" w:hAnsi="Times New Roman"/>
                <w:sz w:val="20"/>
                <w:szCs w:val="20"/>
                <w:lang w:val="uk-UA" w:eastAsia="ar-SA"/>
              </w:rPr>
              <w:t xml:space="preserve">вул. Введенська, </w:t>
            </w:r>
            <w:r>
              <w:rPr>
                <w:rFonts w:ascii="Times New Roman" w:hAnsi="Times New Roman"/>
                <w:sz w:val="20"/>
                <w:szCs w:val="20"/>
                <w:lang w:eastAsia="ar-SA"/>
              </w:rPr>
              <w:t>35</w:t>
            </w:r>
          </w:p>
          <w:p>
            <w:pPr>
              <w:pStyle w:val="Normal"/>
              <w:suppressAutoHyphens w:val="true"/>
              <w:autoSpaceDE w:val="false"/>
              <w:ind w:left="0" w:right="-285" w:hanging="0"/>
              <w:jc w:val="both"/>
              <w:rPr>
                <w:rFonts w:ascii="Times New Roman" w:hAnsi="Times New Roman"/>
                <w:sz w:val="20"/>
                <w:szCs w:val="20"/>
                <w:lang w:val="uk-UA" w:eastAsia="ar-SA"/>
              </w:rPr>
            </w:pPr>
            <w:r>
              <w:rPr>
                <w:rFonts w:ascii="Times New Roman" w:hAnsi="Times New Roman"/>
                <w:sz w:val="20"/>
                <w:szCs w:val="20"/>
                <w:lang w:val="uk-UA" w:eastAsia="ar-SA"/>
              </w:rPr>
              <w:t>тел.: (044) 425-44-77</w:t>
            </w:r>
          </w:p>
          <w:p>
            <w:pPr>
              <w:pStyle w:val="Normal"/>
              <w:suppressAutoHyphens w:val="true"/>
              <w:autoSpaceDE w:val="false"/>
              <w:ind w:left="0" w:right="-285" w:hanging="0"/>
              <w:jc w:val="both"/>
              <w:rPr>
                <w:rFonts w:ascii="Times New Roman" w:hAnsi="Times New Roman"/>
                <w:sz w:val="20"/>
                <w:szCs w:val="20"/>
              </w:rPr>
            </w:pPr>
            <w:r>
              <w:rPr>
                <w:rFonts w:ascii="Times New Roman" w:hAnsi="Times New Roman"/>
                <w:sz w:val="20"/>
                <w:szCs w:val="20"/>
                <w:lang w:val="en-US" w:eastAsia="ar-SA"/>
              </w:rPr>
              <w:t>IBAN</w:t>
            </w:r>
            <w:r>
              <w:rPr>
                <w:rFonts w:ascii="Times New Roman" w:hAnsi="Times New Roman"/>
                <w:sz w:val="20"/>
                <w:szCs w:val="20"/>
                <w:lang w:val="uk-UA" w:eastAsia="ar-SA"/>
              </w:rPr>
              <w:t xml:space="preserve"> </w:t>
            </w:r>
            <w:r>
              <w:rPr>
                <w:rFonts w:ascii="Times New Roman" w:hAnsi="Times New Roman"/>
                <w:sz w:val="20"/>
                <w:szCs w:val="20"/>
                <w:lang w:val="en-US" w:eastAsia="ar-SA"/>
              </w:rPr>
              <w:t>UA</w:t>
            </w:r>
            <w:r>
              <w:rPr>
                <w:rFonts w:ascii="Times New Roman" w:hAnsi="Times New Roman"/>
                <w:sz w:val="20"/>
                <w:szCs w:val="20"/>
                <w:lang w:val="uk-UA" w:eastAsia="ar-SA"/>
              </w:rPr>
              <w:t>_____________________________</w:t>
            </w:r>
          </w:p>
          <w:p>
            <w:pPr>
              <w:pStyle w:val="Normal"/>
              <w:suppressAutoHyphens w:val="true"/>
              <w:autoSpaceDE w:val="false"/>
              <w:ind w:left="0" w:right="-285" w:hanging="0"/>
              <w:jc w:val="both"/>
              <w:rPr>
                <w:rFonts w:ascii="Times New Roman" w:hAnsi="Times New Roman"/>
                <w:sz w:val="20"/>
                <w:szCs w:val="20"/>
                <w:lang w:val="uk-UA" w:eastAsia="ar-SA"/>
              </w:rPr>
            </w:pPr>
            <w:r>
              <w:rPr>
                <w:rFonts w:ascii="Times New Roman" w:hAnsi="Times New Roman"/>
                <w:sz w:val="20"/>
                <w:szCs w:val="20"/>
                <w:lang w:val="uk-UA" w:eastAsia="ar-SA"/>
              </w:rPr>
              <w:t>України, м. Київ</w:t>
            </w:r>
          </w:p>
          <w:p>
            <w:pPr>
              <w:pStyle w:val="Normal"/>
              <w:suppressAutoHyphens w:val="true"/>
              <w:autoSpaceDE w:val="false"/>
              <w:ind w:left="0" w:right="-285" w:hanging="0"/>
              <w:jc w:val="both"/>
              <w:rPr>
                <w:rFonts w:ascii="Times New Roman" w:hAnsi="Times New Roman"/>
                <w:sz w:val="20"/>
                <w:szCs w:val="20"/>
                <w:lang w:val="uk-UA" w:eastAsia="ar-SA"/>
              </w:rPr>
            </w:pPr>
            <w:r>
              <w:rPr>
                <w:rFonts w:ascii="Times New Roman" w:hAnsi="Times New Roman"/>
                <w:sz w:val="20"/>
                <w:szCs w:val="20"/>
                <w:lang w:val="uk-UA" w:eastAsia="ar-SA"/>
              </w:rPr>
              <w:t>МФО 820172</w:t>
            </w:r>
          </w:p>
          <w:p>
            <w:pPr>
              <w:pStyle w:val="Normal"/>
              <w:rPr>
                <w:rFonts w:ascii="Times New Roman" w:hAnsi="Times New Roman"/>
                <w:sz w:val="20"/>
                <w:szCs w:val="20"/>
              </w:rPr>
            </w:pPr>
            <w:r>
              <w:rPr>
                <w:rFonts w:ascii="Times New Roman" w:hAnsi="Times New Roman"/>
                <w:sz w:val="20"/>
                <w:szCs w:val="20"/>
                <w:lang w:eastAsia="uk-UA"/>
              </w:rPr>
              <w:t>Веб сторінка</w:t>
            </w:r>
            <w:r>
              <w:rPr>
                <w:rFonts w:ascii="Times New Roman" w:hAnsi="Times New Roman"/>
                <w:sz w:val="20"/>
                <w:szCs w:val="20"/>
                <w:shd w:fill="FFFFFF" w:val="clear"/>
              </w:rPr>
              <w:t>: www.поділосвіта.укр</w:t>
            </w:r>
          </w:p>
          <w:p>
            <w:pPr>
              <w:pStyle w:val="Normal"/>
              <w:rPr/>
            </w:pPr>
            <w:r>
              <w:rPr>
                <w:rFonts w:ascii="Times New Roman" w:hAnsi="Times New Roman"/>
                <w:sz w:val="20"/>
                <w:szCs w:val="20"/>
                <w:shd w:fill="FFFFFF" w:val="clear"/>
                <w:lang w:val="en-US"/>
              </w:rPr>
              <w:t xml:space="preserve">E-mail: </w:t>
            </w:r>
            <w:hyperlink r:id="rId4" w:tgtFrame="_blank">
              <w:r>
                <w:rPr>
                  <w:rFonts w:ascii="Times New Roman" w:hAnsi="Times New Roman"/>
                  <w:iCs/>
                  <w:color w:val="000000"/>
                  <w:sz w:val="20"/>
                  <w:szCs w:val="20"/>
                  <w:u w:val="none"/>
                  <w:shd w:fill="FFFFFF" w:val="clear"/>
                  <w:lang w:val="en-US"/>
                </w:rPr>
                <w:t>osvita_podilrda@kmda.gov.ua</w:t>
              </w:r>
            </w:hyperlink>
          </w:p>
          <w:p>
            <w:pPr>
              <w:pStyle w:val="Normal"/>
              <w:suppressAutoHyphens w:val="true"/>
              <w:autoSpaceDE w:val="false"/>
              <w:ind w:left="0" w:right="-285" w:hanging="0"/>
              <w:jc w:val="both"/>
              <w:rPr>
                <w:rFonts w:ascii="Times New Roman" w:hAnsi="Times New Roman"/>
                <w:sz w:val="20"/>
                <w:szCs w:val="20"/>
                <w:lang w:val="en-US" w:eastAsia="ar-SA"/>
              </w:rPr>
            </w:pPr>
            <w:r>
              <w:rPr>
                <w:rFonts w:ascii="Times New Roman" w:hAnsi="Times New Roman"/>
                <w:sz w:val="20"/>
                <w:szCs w:val="20"/>
                <w:lang w:val="en-US" w:eastAsia="ar-SA"/>
              </w:rPr>
            </w:r>
          </w:p>
          <w:p>
            <w:pPr>
              <w:pStyle w:val="Normal"/>
              <w:suppressAutoHyphens w:val="true"/>
              <w:autoSpaceDE w:val="false"/>
              <w:ind w:left="0" w:right="-285" w:hanging="0"/>
              <w:jc w:val="both"/>
              <w:rPr>
                <w:rFonts w:ascii="Times New Roman" w:hAnsi="Times New Roman"/>
                <w:sz w:val="20"/>
                <w:szCs w:val="20"/>
                <w:lang w:val="uk-UA" w:eastAsia="ar-SA"/>
              </w:rPr>
            </w:pPr>
            <w:r>
              <w:rPr>
                <w:rFonts w:ascii="Times New Roman" w:hAnsi="Times New Roman"/>
                <w:sz w:val="20"/>
                <w:szCs w:val="20"/>
                <w:lang w:val="uk-UA" w:eastAsia="ar-SA"/>
              </w:rPr>
            </w:r>
          </w:p>
          <w:p>
            <w:pPr>
              <w:pStyle w:val="Normal"/>
              <w:suppressAutoHyphens w:val="true"/>
              <w:spacing w:before="0" w:after="160"/>
              <w:jc w:val="both"/>
              <w:rPr>
                <w:rFonts w:ascii="Times New Roman" w:hAnsi="Times New Roman"/>
                <w:sz w:val="20"/>
                <w:szCs w:val="20"/>
                <w:lang w:val="uk-UA" w:eastAsia="ar-SA"/>
              </w:rPr>
            </w:pPr>
            <w:r>
              <w:rPr>
                <w:rFonts w:ascii="Times New Roman" w:hAnsi="Times New Roman"/>
                <w:sz w:val="20"/>
                <w:szCs w:val="20"/>
                <w:lang w:val="uk-UA" w:eastAsia="ar-SA"/>
              </w:rPr>
              <w:t xml:space="preserve">Головний бухгалтер               Олійник О.М.             </w:t>
            </w:r>
          </w:p>
        </w:tc>
        <w:tc>
          <w:tcPr>
            <w:tcW w:w="4392" w:type="dxa"/>
            <w:tcBorders/>
          </w:tcPr>
          <w:p>
            <w:pPr>
              <w:pStyle w:val="Normal"/>
              <w:suppressAutoHyphens w:val="true"/>
              <w:autoSpaceDE w:val="false"/>
              <w:jc w:val="both"/>
              <w:rPr>
                <w:rFonts w:ascii="Times New Roman" w:hAnsi="Times New Roman"/>
                <w:b/>
                <w:b/>
                <w:sz w:val="20"/>
                <w:szCs w:val="20"/>
                <w:lang w:val="uk-UA" w:eastAsia="ar-SA"/>
              </w:rPr>
            </w:pPr>
            <w:r>
              <w:rPr>
                <w:rFonts w:ascii="Times New Roman" w:hAnsi="Times New Roman"/>
                <w:b/>
                <w:sz w:val="20"/>
                <w:szCs w:val="20"/>
                <w:lang w:val="uk-UA" w:eastAsia="ar-SA"/>
              </w:rPr>
              <w:t>«Постачальник»:</w:t>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t>______________________________</w:t>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t>______________________________</w:t>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t>______________________________</w:t>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t>______________________________</w:t>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t>______________________________</w:t>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t>______________________________</w:t>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t>______________________________</w:t>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t>___________                     __________</w:t>
            </w:r>
          </w:p>
          <w:p>
            <w:pPr>
              <w:pStyle w:val="Normal"/>
              <w:suppressAutoHyphens w:val="true"/>
              <w:autoSpaceDE w:val="false"/>
              <w:jc w:val="both"/>
              <w:rPr>
                <w:rFonts w:ascii="Times New Roman" w:hAnsi="Times New Roman"/>
                <w:sz w:val="20"/>
                <w:szCs w:val="20"/>
                <w:lang w:val="uk-UA" w:eastAsia="ar-SA"/>
              </w:rPr>
            </w:pPr>
            <w:r>
              <w:rPr>
                <w:rFonts w:ascii="Times New Roman" w:hAnsi="Times New Roman"/>
                <w:sz w:val="20"/>
                <w:szCs w:val="20"/>
                <w:lang w:val="uk-UA" w:eastAsia="ar-SA"/>
              </w:rPr>
            </w:r>
          </w:p>
          <w:p>
            <w:pPr>
              <w:pStyle w:val="Normal"/>
              <w:suppressAutoHyphens w:val="true"/>
              <w:autoSpaceDE w:val="false"/>
              <w:spacing w:before="0" w:after="160"/>
              <w:jc w:val="both"/>
              <w:rPr>
                <w:rFonts w:ascii="Times New Roman" w:hAnsi="Times New Roman"/>
                <w:b/>
                <w:b/>
                <w:sz w:val="20"/>
                <w:szCs w:val="20"/>
                <w:lang w:val="uk-UA" w:eastAsia="ar-SA"/>
              </w:rPr>
            </w:pPr>
            <w:r>
              <w:rPr>
                <w:rFonts w:ascii="Times New Roman" w:hAnsi="Times New Roman"/>
                <w:b/>
                <w:sz w:val="20"/>
                <w:szCs w:val="20"/>
                <w:lang w:val="uk-UA" w:eastAsia="ar-SA"/>
              </w:rPr>
            </w:r>
          </w:p>
        </w:tc>
      </w:tr>
    </w:tbl>
    <w:p>
      <w:pPr>
        <w:pStyle w:val="Normal"/>
        <w:spacing w:lineRule="auto" w:line="240" w:before="0" w:after="0"/>
        <w:jc w:val="both"/>
        <w:rPr>
          <w:rFonts w:ascii="Times New Roman" w:hAnsi="Times New Roman" w:eastAsia="Calibri" w:cs="Times New Roman"/>
          <w:sz w:val="24"/>
          <w:szCs w:val="24"/>
        </w:rPr>
      </w:pPr>
      <w:r>
        <w:rPr/>
      </w:r>
    </w:p>
    <w:sectPr>
      <w:headerReference w:type="default" r:id="rId5"/>
      <w:type w:val="nextPage"/>
      <w:pgSz w:w="11906" w:h="16838"/>
      <w:pgMar w:left="1701" w:right="567" w:gutter="0" w:header="709" w:top="1134" w:footer="0" w:bottom="709"/>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rFonts w:ascii="Times New Roman" w:hAnsi="Times New Roman"/>
        <w:sz w:val="28"/>
        <w:szCs w:val="28"/>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ій колонтитул Знак"/>
    <w:basedOn w:val="DefaultParagraphFont"/>
    <w:link w:val="a3"/>
    <w:uiPriority w:val="99"/>
    <w:semiHidden/>
    <w:qFormat/>
    <w:rsid w:val="0000226e"/>
    <w:rPr/>
  </w:style>
  <w:style w:type="character" w:styleId="Style15">
    <w:name w:val="Гіперпосилання"/>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lang w:val="zxx" w:eastAsia="zxx" w:bidi="zxx"/>
    </w:rPr>
  </w:style>
  <w:style w:type="paragraph" w:styleId="Style21">
    <w:name w:val="Верхній і нижній колонтитули"/>
    <w:basedOn w:val="Normal"/>
    <w:qFormat/>
    <w:pPr/>
    <w:rPr/>
  </w:style>
  <w:style w:type="paragraph" w:styleId="Style22">
    <w:name w:val="Header"/>
    <w:basedOn w:val="Normal"/>
    <w:link w:val="a4"/>
    <w:uiPriority w:val="99"/>
    <w:semiHidden/>
    <w:unhideWhenUsed/>
    <w:rsid w:val="0000226e"/>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5.rada.gov.ua/laws/show/435-15" TargetMode="External"/><Relationship Id="rId3" Type="http://schemas.openxmlformats.org/officeDocument/2006/relationships/hyperlink" Target="http://zakon5.rada.gov.ua/laws/show/436-15" TargetMode="External"/><Relationship Id="rId4" Type="http://schemas.openxmlformats.org/officeDocument/2006/relationships/hyperlink" Target="mailto:osvita_podilrda@kmda.gov.ua"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LibreOffice/7.2.0.4$Windows_X86_64 LibreOffice_project/9a9c6381e3f7a62afc1329bd359cc48accb6435b</Application>
  <AppVersion>15.0000</AppVersion>
  <Pages>6</Pages>
  <Words>2514</Words>
  <Characters>16862</Characters>
  <CharactersWithSpaces>19337</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2023-03-16T12:34:00Z</dcterms:created>
  <dc:creator>Овчаренко Жанна Євгенівна</dc:creator>
  <dc:description/>
  <dc:language>uk-UA</dc:language>
  <cp:lastModifiedBy/>
  <dcterms:modified xsi:type="dcterms:W3CDTF">2024-04-03T13:00:05Z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