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5670" w:hanging="0"/>
        <w:jc w:val="right"/>
        <w:rPr>
          <w:rFonts w:eastAsia="Times New Roman"/>
          <w:b/>
          <w:b/>
          <w:i/>
          <w:i/>
          <w:iCs/>
          <w:lang w:eastAsia="uk-UA"/>
        </w:rPr>
      </w:pPr>
      <w:r>
        <w:rPr>
          <w:rFonts w:eastAsia="Times New Roman"/>
          <w:b/>
          <w:i/>
          <w:iCs/>
          <w:lang w:eastAsia="uk-UA"/>
        </w:rPr>
      </w:r>
    </w:p>
    <w:p>
      <w:pPr>
        <w:pStyle w:val="Normal"/>
        <w:jc w:val="right"/>
        <w:rPr>
          <w:rFonts w:eastAsia="Times New Roman"/>
          <w:b/>
          <w:b/>
          <w:bCs/>
          <w:lang w:eastAsia="ru-RU"/>
        </w:rPr>
      </w:pPr>
      <w:r>
        <w:rPr>
          <w:rFonts w:eastAsia="Times New Roman"/>
          <w:b/>
          <w:bCs/>
          <w:lang w:eastAsia="ru-RU"/>
        </w:rPr>
      </w:r>
    </w:p>
    <w:p>
      <w:pPr>
        <w:pStyle w:val="Normal"/>
        <w:jc w:val="center"/>
        <w:rPr>
          <w:rFonts w:eastAsia="Times New Roman"/>
          <w:b/>
          <w:b/>
          <w:bCs/>
          <w:lang w:eastAsia="ru-RU"/>
        </w:rPr>
      </w:pPr>
      <w:r>
        <w:rPr>
          <w:rFonts w:eastAsia="Times New Roman"/>
          <w:b/>
          <w:bCs/>
          <w:lang w:eastAsia="ru-RU"/>
        </w:rPr>
        <w:t>ПРОЄКТ ДОГОВОРУ  № _____</w:t>
      </w:r>
    </w:p>
    <w:p>
      <w:pPr>
        <w:pStyle w:val="Normal"/>
        <w:rPr>
          <w:rFonts w:eastAsia="Times New Roman"/>
          <w:lang w:eastAsia="ru-RU"/>
        </w:rPr>
      </w:pPr>
      <w:r>
        <w:rPr>
          <w:rFonts w:eastAsia="Times New Roman"/>
          <w:lang w:eastAsia="ru-RU"/>
        </w:rPr>
      </w:r>
    </w:p>
    <w:p>
      <w:pPr>
        <w:pStyle w:val="Normal"/>
        <w:jc w:val="left"/>
        <w:rPr>
          <w:rFonts w:eastAsia="Times New Roman"/>
          <w:u w:val="single"/>
          <w:lang w:eastAsia="ru-RU"/>
        </w:rPr>
      </w:pPr>
      <w:r>
        <w:rPr>
          <w:rFonts w:eastAsia="Times New Roman"/>
          <w:bCs/>
          <w:lang w:eastAsia="ru-RU"/>
        </w:rPr>
        <w:t>м. Запоріжжя</w:t>
      </w:r>
      <w:r>
        <w:rPr>
          <w:rFonts w:eastAsia="Times New Roman"/>
          <w:b/>
          <w:bCs/>
          <w:lang w:eastAsia="ru-RU"/>
        </w:rPr>
        <w:tab/>
        <w:t xml:space="preserve">  </w:t>
        <w:tab/>
        <w:tab/>
        <w:tab/>
        <w:tab/>
        <w:t xml:space="preserve">                                                 «___» ____________202_ р.</w:t>
      </w:r>
    </w:p>
    <w:p>
      <w:pPr>
        <w:pStyle w:val="Normal"/>
        <w:rPr>
          <w:rFonts w:eastAsia="Times New Roman"/>
          <w:lang w:eastAsia="ru-RU"/>
        </w:rPr>
      </w:pPr>
      <w:r>
        <w:rPr>
          <w:rFonts w:eastAsia="Times New Roman"/>
          <w:lang w:eastAsia="ru-RU"/>
        </w:rPr>
        <w:t xml:space="preserve">       </w:t>
      </w:r>
    </w:p>
    <w:p>
      <w:pPr>
        <w:pStyle w:val="Normal"/>
        <w:rPr>
          <w:rFonts w:eastAsia="Times New Roman"/>
          <w:lang w:eastAsia="ru-RU"/>
        </w:rPr>
      </w:pPr>
      <w:r>
        <w:rPr>
          <w:rFonts w:eastAsia="Times New Roman"/>
          <w:lang w:eastAsia="ru-RU"/>
        </w:rPr>
        <w:t xml:space="preserve">       </w:t>
      </w:r>
      <w:r>
        <w:rPr>
          <w:rFonts w:eastAsia="Times New Roman"/>
          <w:b/>
          <w:lang w:eastAsia="ru-RU"/>
        </w:rPr>
        <w:t>«Постачальник»:</w:t>
      </w:r>
      <w:r>
        <w:rPr>
          <w:rFonts w:eastAsia="Times New Roman"/>
          <w:lang w:eastAsia="ru-RU"/>
        </w:rPr>
        <w:t xml:space="preserve">  _____________________________в особі _____________________, що діє на підставі _____________________,  з однієї сторони ,</w:t>
      </w:r>
    </w:p>
    <w:p>
      <w:pPr>
        <w:pStyle w:val="Normal"/>
        <w:rPr>
          <w:rFonts w:eastAsia="Times New Roman"/>
          <w:lang w:eastAsia="ru-RU"/>
        </w:rPr>
      </w:pPr>
      <w:r>
        <w:rPr>
          <w:rFonts w:eastAsia="Times New Roman"/>
          <w:lang w:eastAsia="ru-RU"/>
        </w:rPr>
        <w:t xml:space="preserve">         </w:t>
      </w:r>
      <w:r>
        <w:rPr>
          <w:rFonts w:eastAsia="Times New Roman"/>
          <w:b/>
          <w:lang w:eastAsia="ru-RU"/>
        </w:rPr>
        <w:t xml:space="preserve">«Замовник»: </w:t>
      </w:r>
      <w:r>
        <w:rPr>
          <w:rFonts w:eastAsia="Times New Roman"/>
          <w:lang w:eastAsia="ru-RU"/>
        </w:rPr>
        <w:t xml:space="preserve"> КОМУНАЛЬНЕ НЕКОМЕРЦІЙНЕ ПІДПРИЄМСТВО «ЦЕНТР ПЕРВИННОЇ МЕДИКО-САНІТАРНОЇ ДОПОМОГИ №6» в особі ________________________________________, що діє на підставі _______________________, з </w:t>
      </w:r>
      <w:r>
        <w:rPr>
          <w:rFonts w:eastAsia="Times New Roman"/>
          <w:shd w:fill="auto" w:val="clear"/>
          <w:lang w:eastAsia="ru-RU"/>
        </w:rPr>
        <w:t>іншої Сторони,</w:t>
      </w:r>
      <w:r>
        <w:rPr>
          <w:rFonts w:eastAsia="Times New Roman"/>
          <w:shd w:fill="auto" w:val="clear"/>
          <w:lang w:val="en-US" w:eastAsia="ru-RU"/>
        </w:rPr>
        <w:t xml:space="preserve"> </w:t>
      </w:r>
      <w:r>
        <w:rPr>
          <w:rFonts w:eastAsia="Arial Unicode MS"/>
          <w:color w:val="000000"/>
          <w:sz w:val="24"/>
          <w:szCs w:val="24"/>
          <w:u w:val="none" w:color="000000"/>
          <w:shd w:fill="auto" w:val="clear"/>
          <w:lang w:val="en-US" w:eastAsia="ru-RU"/>
        </w:rPr>
        <w:t xml:space="preserve"> </w:t>
      </w:r>
      <w:r>
        <w:rPr>
          <w:rFonts w:eastAsia="Arial Unicode MS"/>
          <w:color w:val="000000"/>
          <w:sz w:val="22"/>
          <w:szCs w:val="22"/>
          <w:u w:val="none" w:color="000000"/>
          <w:shd w:fill="auto" w:val="clear"/>
          <w:lang w:val="en-US" w:eastAsia="ru-RU"/>
        </w:rPr>
        <w:t>а кожен окремо – Сторона, відповідно до норм Цивільного та Господарського кодексів України, Закону України «Про публічні закупівлі» від 25.12.2015 р. № 922 (зі змінами), враховуючи постанову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Постанова № 1178), уклали цей Договір (далі – Договір) про наступне:</w:t>
      </w:r>
    </w:p>
    <w:p>
      <w:pPr>
        <w:pStyle w:val="Normal"/>
        <w:jc w:val="left"/>
        <w:rPr>
          <w:rFonts w:eastAsia="Calibri"/>
          <w:b/>
          <w:b/>
        </w:rPr>
      </w:pPr>
      <w:r>
        <w:rPr>
          <w:rFonts w:eastAsia="Calibri"/>
          <w:b/>
        </w:rPr>
      </w:r>
    </w:p>
    <w:p>
      <w:pPr>
        <w:pStyle w:val="1"/>
        <w:rPr>
          <w:rFonts w:eastAsia="Times New Roman"/>
          <w:lang w:eastAsia="ru-RU"/>
        </w:rPr>
      </w:pPr>
      <w:r>
        <w:rPr>
          <w:rFonts w:eastAsia="Times New Roman"/>
          <w:lang w:eastAsia="ru-RU"/>
        </w:rPr>
        <w:t>1. ПРЕДМЕТ ДОГОВОРУ</w:t>
      </w:r>
    </w:p>
    <w:p>
      <w:pPr>
        <w:pStyle w:val="Normal"/>
        <w:widowControl w:val="false"/>
        <w:rPr>
          <w:sz w:val="22"/>
          <w:szCs w:val="22"/>
        </w:rPr>
      </w:pPr>
      <w:r>
        <w:rPr>
          <w:rFonts w:eastAsia="Times New Roman"/>
          <w:sz w:val="22"/>
          <w:szCs w:val="22"/>
          <w:lang w:eastAsia="ru-RU"/>
        </w:rPr>
        <w:t>1.1.</w:t>
      </w:r>
      <w:r>
        <w:rPr>
          <w:rFonts w:eastAsia="Calibri"/>
          <w:sz w:val="22"/>
          <w:szCs w:val="22"/>
          <w:lang w:eastAsia="ru-RU"/>
        </w:rPr>
        <w:t xml:space="preserve"> </w:t>
      </w:r>
      <w:r>
        <w:rPr>
          <w:rFonts w:eastAsia="Calibri"/>
          <w:sz w:val="22"/>
          <w:szCs w:val="22"/>
          <w:shd w:fill="FFFFFF" w:val="clear"/>
          <w:lang w:eastAsia="ru-RU"/>
        </w:rPr>
        <w:t xml:space="preserve">Постачальник зобов'язується поставити та передати у власність Замовникові </w:t>
      </w:r>
      <w:r>
        <w:rPr>
          <w:rFonts w:eastAsia="Calibri"/>
          <w:color w:val="000000"/>
          <w:sz w:val="22"/>
          <w:szCs w:val="22"/>
          <w:shd w:fill="FFFFFF" w:val="clear"/>
          <w:lang w:eastAsia="ru-RU"/>
        </w:rPr>
        <w:t xml:space="preserve">Товар по предмету закупівлі: </w:t>
      </w:r>
      <w:r>
        <w:rPr>
          <w:rFonts w:eastAsia="Calibri"/>
          <w:b/>
          <w:bCs/>
          <w:color w:val="000000"/>
          <w:sz w:val="22"/>
          <w:szCs w:val="22"/>
          <w:shd w:fill="FFFFFF" w:val="clear"/>
          <w:lang w:eastAsia="ru-RU"/>
        </w:rPr>
        <w:t>Фармацевтична продукція (лікарські засоби)</w:t>
      </w:r>
      <w:r>
        <w:rPr>
          <w:rFonts w:eastAsia="Calibri"/>
          <w:color w:val="000000"/>
          <w:sz w:val="22"/>
          <w:szCs w:val="22"/>
          <w:shd w:fill="FFFFFF" w:val="clear"/>
          <w:lang w:eastAsia="ru-RU"/>
        </w:rPr>
        <w:t xml:space="preserve"> </w:t>
      </w:r>
      <w:bookmarkStart w:id="0" w:name="_Hlk155184371"/>
      <w:r>
        <w:rPr>
          <w:rFonts w:eastAsia="Calibri"/>
          <w:b/>
          <w:bCs/>
          <w:sz w:val="22"/>
          <w:szCs w:val="22"/>
          <w:lang w:eastAsia="ru-RU"/>
        </w:rPr>
        <w:t xml:space="preserve">за кодом </w:t>
      </w:r>
      <w:r>
        <w:rPr>
          <w:rFonts w:eastAsia="Calibri"/>
          <w:b/>
          <w:sz w:val="22"/>
          <w:szCs w:val="22"/>
          <w:lang w:eastAsia="ru-RU"/>
        </w:rPr>
        <w:t xml:space="preserve">ДК 021:2015 33600000-6 - </w:t>
      </w:r>
      <w:r>
        <w:rPr>
          <w:rFonts w:eastAsia="Times New Roman"/>
          <w:b/>
          <w:sz w:val="22"/>
          <w:szCs w:val="22"/>
          <w:lang w:eastAsia="ru-RU"/>
        </w:rPr>
        <w:t>«</w:t>
      </w:r>
      <w:r>
        <w:rPr>
          <w:rFonts w:eastAsia="Calibri"/>
          <w:b/>
          <w:sz w:val="21"/>
          <w:szCs w:val="21"/>
          <w:lang w:val="uk-UA" w:eastAsia="ru-RU"/>
        </w:rPr>
        <w:t>Фармацевтична продукція</w:t>
      </w:r>
      <w:r>
        <w:rPr>
          <w:rFonts w:eastAsia="Times New Roman"/>
          <w:b/>
          <w:sz w:val="22"/>
          <w:szCs w:val="22"/>
          <w:lang w:eastAsia="ru-RU"/>
        </w:rPr>
        <w:t>»</w:t>
      </w:r>
      <w:r>
        <w:rPr>
          <w:rFonts w:eastAsia="Calibri"/>
          <w:b/>
          <w:sz w:val="22"/>
          <w:szCs w:val="22"/>
          <w:lang w:eastAsia="ru-RU"/>
        </w:rPr>
        <w:t xml:space="preserve"> </w:t>
      </w:r>
      <w:bookmarkEnd w:id="0"/>
      <w:r>
        <w:rPr>
          <w:rFonts w:eastAsia="Calibri"/>
          <w:sz w:val="22"/>
          <w:szCs w:val="22"/>
          <w:lang w:eastAsia="ru-RU"/>
        </w:rPr>
        <w:t xml:space="preserve">визначений в асортименті, кількості та за цінами, які зазначені у Специфікації (Додаток 1 до Договору), </w:t>
      </w:r>
      <w:r>
        <w:rPr>
          <w:rFonts w:eastAsia="Times New Roman"/>
          <w:sz w:val="22"/>
          <w:szCs w:val="22"/>
          <w:lang w:eastAsia="ru-RU"/>
        </w:rPr>
        <w:t>що додається до цього Договору і є його невід’ємною частиною,</w:t>
      </w:r>
      <w:r>
        <w:rPr>
          <w:rFonts w:eastAsia="Calibri"/>
          <w:sz w:val="22"/>
          <w:szCs w:val="22"/>
          <w:lang w:eastAsia="ru-RU"/>
        </w:rPr>
        <w:t xml:space="preserve"> а Замовник зобов’язується прийняти Товар та сплатити його вартість.</w:t>
      </w:r>
    </w:p>
    <w:p>
      <w:pPr>
        <w:pStyle w:val="Normal"/>
        <w:widowControl w:val="false"/>
        <w:rPr>
          <w:rFonts w:eastAsia="Times New Roman"/>
          <w:lang w:eastAsia="ru-RU"/>
        </w:rPr>
      </w:pPr>
      <w:r>
        <w:rPr>
          <w:rFonts w:eastAsia="Times New Roman"/>
          <w:lang w:eastAsia="ru-RU"/>
        </w:rPr>
        <w:t>1.2. Обсяги закупівлі товарів можуть бути зменшені залежно від реального фінансування видатків та узгодженого  зменшення сторонами ціни договору про закупівлю.</w:t>
      </w:r>
    </w:p>
    <w:p>
      <w:pPr>
        <w:pStyle w:val="Normal"/>
        <w:widowControl w:val="false"/>
        <w:rPr>
          <w:rFonts w:eastAsia="Calibri"/>
          <w:lang w:val="ru-RU"/>
        </w:rPr>
      </w:pPr>
      <w:r>
        <w:rPr>
          <w:rFonts w:eastAsia="Times New Roman"/>
          <w:lang w:eastAsia="ru-RU"/>
        </w:rPr>
        <w:t xml:space="preserve">1.3. </w:t>
      </w:r>
      <w:r>
        <w:rPr>
          <w:rFonts w:eastAsia="Calibri"/>
          <w:lang w:val="ru-RU"/>
        </w:rPr>
        <w:t>Товар належать Постачальнику на праві власності, не закладений, не арештований і не є предметом позовних вимог третіх осіб, якщо інше не узгоджено сторонами додатково.</w:t>
      </w:r>
    </w:p>
    <w:p>
      <w:pPr>
        <w:pStyle w:val="Normal"/>
        <w:widowControl w:val="false"/>
        <w:rPr>
          <w:rFonts w:eastAsia="Calibri" w:eastAsiaTheme="minorHAnsi"/>
          <w:highlight w:val="none"/>
          <w:shd w:fill="auto" w:val="clear"/>
        </w:rPr>
      </w:pPr>
      <w:r>
        <w:rPr>
          <w:rFonts w:eastAsia="Calibri" w:eastAsiaTheme="minorHAnsi"/>
          <w:shd w:fill="auto" w:val="clear"/>
        </w:rPr>
      </w:r>
    </w:p>
    <w:p>
      <w:pPr>
        <w:pStyle w:val="1"/>
        <w:rPr>
          <w:rFonts w:eastAsia="Times New Roman"/>
          <w:lang w:eastAsia="ru-RU"/>
        </w:rPr>
      </w:pPr>
      <w:r>
        <w:rPr>
          <w:rFonts w:eastAsia="Times New Roman"/>
          <w:lang w:eastAsia="ru-RU"/>
        </w:rPr>
        <w:t>2. ЯКІСТЬ  ТОВАРІВ, РОБІТ ЧИ ПОСЛУГ</w:t>
      </w:r>
    </w:p>
    <w:p>
      <w:pPr>
        <w:pStyle w:val="Normal"/>
        <w:rPr>
          <w:rFonts w:eastAsia="Calibri"/>
          <w:lang w:val="ru-RU"/>
        </w:rPr>
      </w:pPr>
      <w:r>
        <w:rPr>
          <w:rFonts w:eastAsia="Calibri"/>
          <w:lang w:val="ru-RU"/>
        </w:rPr>
        <w:t xml:space="preserve">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товар документами, передбаченими чинним законодавством. </w:t>
      </w:r>
    </w:p>
    <w:p>
      <w:pPr>
        <w:pStyle w:val="Normal"/>
        <w:rPr>
          <w:lang w:val="uk-UA"/>
        </w:rPr>
      </w:pPr>
      <w:r>
        <w:rPr>
          <w:lang w:val="uk-UA"/>
        </w:rPr>
        <w:t>2.</w:t>
      </w:r>
      <w:r>
        <w:rPr>
          <w:lang w:val="uk-UA"/>
        </w:rPr>
        <w:t>2</w:t>
      </w:r>
      <w:r>
        <w:rPr>
          <w:lang w:val="uk-UA"/>
        </w:rPr>
        <w:t xml:space="preserve">. </w:t>
      </w:r>
      <w:r>
        <w:rPr>
          <w:rFonts w:eastAsia="Calibri"/>
          <w:lang w:val="ru-RU"/>
        </w:rPr>
        <w:t>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повинно відповідати вимогам чинного законодавства України.</w:t>
      </w:r>
    </w:p>
    <w:p>
      <w:pPr>
        <w:pStyle w:val="Normal"/>
        <w:rPr>
          <w:rFonts w:eastAsia="Calibri"/>
        </w:rPr>
      </w:pPr>
      <w:r>
        <w:rPr>
          <w:rFonts w:eastAsia="Calibri"/>
          <w:lang w:val="ru-RU"/>
        </w:rPr>
        <w:t>2.</w:t>
      </w:r>
      <w:r>
        <w:rPr>
          <w:rFonts w:eastAsia="Calibri"/>
          <w:lang w:val="uk-UA"/>
        </w:rPr>
        <w:t>3</w:t>
      </w:r>
      <w:r>
        <w:rPr>
          <w:rFonts w:eastAsia="Calibri"/>
          <w:lang w:val="ru-RU"/>
        </w:rPr>
        <w:t xml:space="preserve">. </w:t>
      </w:r>
      <w:r>
        <w:rPr>
          <w:rFonts w:eastAsia="Calibri"/>
          <w:sz w:val="22"/>
          <w:szCs w:val="22"/>
          <w:lang w:val="ru-RU"/>
        </w:rPr>
        <w:t xml:space="preserve">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w:t>
      </w:r>
      <w:r>
        <w:rPr>
          <w:rFonts w:eastAsia="Calibri"/>
          <w:sz w:val="22"/>
          <w:szCs w:val="22"/>
          <w:shd w:fill="auto" w:val="clear"/>
          <w:lang w:val="ru-RU"/>
        </w:rPr>
        <w:t>Постачальник..</w:t>
      </w:r>
      <w:r>
        <w:rPr>
          <w:rFonts w:eastAsia="Calibri"/>
          <w:color w:val="000000"/>
          <w:sz w:val="22"/>
          <w:szCs w:val="22"/>
          <w:shd w:fill="auto" w:val="clear"/>
          <w:lang w:val="ru-RU" w:eastAsia="ru-RU"/>
        </w:rPr>
        <w:t>При цьому всі правовідносини між Сторонами врегульовуються відповідно до ст. 690 Цивільного Кодексу України.</w:t>
      </w:r>
    </w:p>
    <w:p>
      <w:pPr>
        <w:pStyle w:val="Normal"/>
        <w:rPr>
          <w:lang w:val="uk-UA"/>
        </w:rPr>
      </w:pPr>
      <w:r>
        <w:rPr>
          <w:lang w:val="uk-UA"/>
        </w:rPr>
        <w:t>2.</w:t>
      </w:r>
      <w:r>
        <w:rPr>
          <w:lang w:val="uk-UA"/>
        </w:rPr>
        <w:t>4</w:t>
      </w:r>
      <w:r>
        <w:rPr>
          <w:lang w:val="uk-UA"/>
        </w:rPr>
        <w:t xml:space="preserve">. </w:t>
      </w:r>
      <w:r>
        <w:rPr>
          <w:sz w:val="22"/>
          <w:szCs w:val="22"/>
          <w:lang w:val="uk-UA"/>
        </w:rPr>
        <w:t>Якщо протягом гарантійного терміну товар виявиться дефектним або таким</w:t>
      </w:r>
      <w:r>
        <w:rPr>
          <w:bCs/>
          <w:sz w:val="22"/>
          <w:szCs w:val="22"/>
          <w:lang w:val="uk-UA"/>
        </w:rPr>
        <w:t>, що не відповідає умовам цього Договору, Постачальник зобов</w:t>
      </w:r>
      <w:r>
        <w:rPr>
          <w:sz w:val="22"/>
          <w:szCs w:val="22"/>
          <w:lang w:val="uk-UA"/>
        </w:rPr>
        <w:t>’язаний замінити дефектний товар. Всі витрати, пов’язані із заміною товару неналежної якості (транспортні витрати та ін.), несе Постачальник.</w:t>
      </w:r>
    </w:p>
    <w:p>
      <w:pPr>
        <w:pStyle w:val="Normal"/>
        <w:jc w:val="center"/>
        <w:rPr>
          <w:rFonts w:eastAsia="Times New Roman"/>
          <w:b/>
          <w:b/>
          <w:bCs/>
          <w:lang w:eastAsia="ru-RU"/>
        </w:rPr>
      </w:pPr>
      <w:r>
        <w:rPr>
          <w:rFonts w:eastAsia="Times New Roman"/>
          <w:b/>
          <w:bCs/>
          <w:lang w:eastAsia="ru-RU"/>
        </w:rPr>
      </w:r>
    </w:p>
    <w:p>
      <w:pPr>
        <w:pStyle w:val="1"/>
        <w:rPr>
          <w:rFonts w:eastAsia="Times New Roman"/>
          <w:lang w:eastAsia="ru-RU"/>
        </w:rPr>
      </w:pPr>
      <w:r>
        <w:rPr>
          <w:rFonts w:eastAsia="Times New Roman"/>
          <w:lang w:eastAsia="ru-RU"/>
        </w:rPr>
        <w:t>3. ЦІНА ДОГОВОРУ</w:t>
      </w:r>
    </w:p>
    <w:p>
      <w:pPr>
        <w:pStyle w:val="Normal"/>
        <w:jc w:val="both"/>
        <w:rPr>
          <w:rFonts w:eastAsia="Times New Roman"/>
          <w:lang w:eastAsia="ru-RU"/>
        </w:rPr>
      </w:pPr>
      <w:r>
        <w:rPr>
          <w:rFonts w:eastAsia="Times New Roman"/>
          <w:lang w:eastAsia="ru-RU"/>
        </w:rPr>
        <w:t xml:space="preserve">3.1. </w:t>
      </w:r>
      <w:r>
        <w:rPr>
          <w:rFonts w:eastAsia="Times New Roman"/>
          <w:sz w:val="22"/>
          <w:szCs w:val="22"/>
          <w:lang w:eastAsia="ru-RU"/>
        </w:rPr>
        <w:t>Ціна на Товар встановлюється в національній валюті України — гривні.</w:t>
      </w:r>
    </w:p>
    <w:p>
      <w:pPr>
        <w:pStyle w:val="Normal"/>
        <w:jc w:val="both"/>
        <w:rPr/>
      </w:pPr>
      <w:r>
        <w:rPr>
          <w:rFonts w:eastAsia="Times New Roman"/>
          <w:lang w:eastAsia="ru-RU"/>
        </w:rPr>
        <w:t xml:space="preserve">3.2. </w:t>
      </w:r>
      <w:r>
        <w:rPr>
          <w:rFonts w:eastAsia="Times New Roman"/>
          <w:b w:val="false"/>
          <w:i w:val="false"/>
          <w:caps w:val="false"/>
          <w:smallCaps w:val="false"/>
          <w:color w:val="000000"/>
          <w:spacing w:val="0"/>
          <w:sz w:val="22"/>
          <w:szCs w:val="22"/>
          <w:shd w:fill="auto" w:val="clear"/>
          <w:lang w:eastAsia="ru-RU"/>
        </w:rPr>
        <w:t>Загальна ціна Договору становить __________________грн. (_______________грн.), у т. ч. ПДВ % - та складається із сукупної вартості всього товару, зазначеного у витратних документах (накладних), на підставі яких був переданий товар за даним Договором.</w:t>
      </w:r>
      <w:r>
        <w:rPr>
          <w:rFonts w:eastAsia="Times New Roman"/>
          <w:sz w:val="22"/>
          <w:szCs w:val="22"/>
          <w:shd w:fill="auto" w:val="clear"/>
          <w:lang w:eastAsia="ru-RU"/>
        </w:rPr>
        <w:t xml:space="preserve"> </w:t>
      </w:r>
    </w:p>
    <w:p>
      <w:pPr>
        <w:pStyle w:val="Normal"/>
        <w:jc w:val="both"/>
        <w:rPr/>
      </w:pPr>
      <w:r>
        <w:rPr>
          <w:rFonts w:eastAsia="Times New Roman"/>
          <w:lang w:eastAsia="ru-RU"/>
        </w:rPr>
        <w:t>3.3. Договірні зобов’язання в цьому розділі виникають в залежності від реального фінансування видатків. Ціна Договору може бути зменшена за взаємною згодою Сторін, яка узгоджується  Додатковою угодою до договору.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74" w:hanging="0"/>
        <w:jc w:val="both"/>
        <w:rPr/>
      </w:pPr>
      <w:bookmarkStart w:id="1" w:name="o1005"/>
      <w:bookmarkStart w:id="2" w:name="o1006"/>
      <w:bookmarkEnd w:id="1"/>
      <w:bookmarkEnd w:id="2"/>
      <w:r>
        <w:rPr>
          <w:rFonts w:eastAsia="Times New Roman"/>
          <w:lang w:eastAsia="ru-RU"/>
        </w:rPr>
        <w:t>3.4. Ціна на товар не може бути змінена в сторону збільшення протягом 90 днів з моменту укладання договору.</w:t>
      </w:r>
    </w:p>
    <w:p>
      <w:pPr>
        <w:pStyle w:val="1"/>
        <w:rPr>
          <w:rFonts w:eastAsia="Times New Roman"/>
          <w:lang w:eastAsia="ru-RU"/>
        </w:rPr>
      </w:pPr>
      <w:r>
        <w:rPr>
          <w:rFonts w:eastAsia="Times New Roman"/>
          <w:lang w:eastAsia="ru-RU"/>
        </w:rPr>
        <w:t>4. ПОРЯДОК ЗДІЙСНЕННЯ ОПЛАТИ</w:t>
      </w:r>
    </w:p>
    <w:p>
      <w:pPr>
        <w:pStyle w:val="Normal"/>
        <w:rPr>
          <w:rFonts w:eastAsia="Times New Roman"/>
          <w:lang w:eastAsia="ru-RU"/>
        </w:rPr>
      </w:pPr>
      <w:r>
        <w:rPr>
          <w:rFonts w:eastAsia="Times New Roman"/>
          <w:lang w:eastAsia="ru-RU"/>
        </w:rPr>
        <w:t xml:space="preserve">4.1. Розрахунки проводяться у національній валюті шляхом безготівкового переказу коштів на банківський рахунок Постачальника, вказаний у даному Договорі на підставі рахунку-фактури та видаткової накладної на оплату товару. </w:t>
      </w:r>
    </w:p>
    <w:p>
      <w:pPr>
        <w:pStyle w:val="Normal"/>
        <w:rPr>
          <w:rFonts w:eastAsia="Times New Roman"/>
          <w:lang w:eastAsia="ru-RU"/>
        </w:rPr>
      </w:pPr>
      <w:r>
        <w:rPr>
          <w:rFonts w:eastAsia="Times New Roman"/>
          <w:lang w:eastAsia="ru-RU"/>
        </w:rPr>
        <w:t xml:space="preserve">4.2. Усі платіжні документи за договором оформлюються з дотриманням вимог законодавства. </w:t>
      </w:r>
    </w:p>
    <w:p>
      <w:pPr>
        <w:pStyle w:val="Normal"/>
        <w:rPr>
          <w:rFonts w:eastAsia="Times New Roman"/>
          <w:lang w:eastAsia="ru-RU"/>
        </w:rPr>
      </w:pPr>
      <w:r>
        <w:rPr>
          <w:rFonts w:eastAsia="Times New Roman"/>
          <w:lang w:eastAsia="ru-RU"/>
        </w:rPr>
        <w:t>4.3. До рахунку додається видаткова накладна.</w:t>
      </w:r>
    </w:p>
    <w:p>
      <w:pPr>
        <w:pStyle w:val="Normal"/>
        <w:widowControl w:val="false"/>
        <w:tabs>
          <w:tab w:val="clear" w:pos="708"/>
          <w:tab w:val="left" w:pos="518" w:leader="none"/>
        </w:tabs>
        <w:rPr>
          <w:rFonts w:eastAsia="Times New Roman"/>
          <w:lang w:eastAsia="ru-RU"/>
        </w:rPr>
      </w:pPr>
      <w:r>
        <w:rPr>
          <w:rFonts w:eastAsia="Times New Roman"/>
          <w:color w:val="000000"/>
          <w:lang w:eastAsia="uk-UA" w:bidi="uk-UA"/>
        </w:rPr>
        <w:t>4.4. Оплата ціни Договору здійснюється в безготівковому порядку, шляхом перерахування грошових коштів на поточний рахунок післяплатою на підставі видаткової накладної та рахунку-фактури у строк, визначений в рахунку, який не може бути меншим 10 (десяти) робочих днів з моменту отримання його Замовником. Післяплата – 100%.</w:t>
      </w:r>
    </w:p>
    <w:p>
      <w:pPr>
        <w:pStyle w:val="Normal"/>
        <w:shd w:val="clear" w:color="auto" w:fill="FFFFFF"/>
        <w:rPr>
          <w:rFonts w:eastAsia="Times New Roman"/>
          <w:lang w:eastAsia="ru-RU"/>
        </w:rPr>
      </w:pPr>
      <w:r>
        <w:rPr>
          <w:rFonts w:eastAsia="Times New Roman"/>
          <w:lang w:eastAsia="ru-RU"/>
        </w:rPr>
      </w:r>
    </w:p>
    <w:p>
      <w:pPr>
        <w:pStyle w:val="1"/>
        <w:rPr>
          <w:rFonts w:eastAsia="Times New Roman"/>
          <w:lang w:eastAsia="ru-RU"/>
        </w:rPr>
      </w:pPr>
      <w:r>
        <w:rPr>
          <w:rFonts w:eastAsia="Times New Roman"/>
          <w:lang w:eastAsia="ru-RU"/>
        </w:rPr>
        <w:t>5. ПОСТАВКА ТОВАРІВ, НАДАННЯ ПОСЛУГ ЧИ ВИКОНАННЯ РОБІТ</w:t>
      </w:r>
    </w:p>
    <w:p>
      <w:pPr>
        <w:pStyle w:val="Normal"/>
        <w:jc w:val="left"/>
        <w:rPr>
          <w:rFonts w:eastAsia="Times New Roman"/>
          <w:lang w:eastAsia="ru-RU"/>
        </w:rPr>
      </w:pPr>
      <w:r>
        <w:rPr>
          <w:rFonts w:eastAsia="Times New Roman"/>
          <w:lang w:eastAsia="ru-RU"/>
        </w:rPr>
        <w:t xml:space="preserve">5.1. Строк поставки товарів  до  </w:t>
      </w:r>
      <w:r>
        <w:rPr>
          <w:rFonts w:eastAsia="Times New Roman"/>
          <w:b/>
          <w:color w:val="000000"/>
          <w:lang w:eastAsia="ru-RU"/>
        </w:rPr>
        <w:t>31.12.202</w:t>
      </w:r>
      <w:r>
        <w:rPr>
          <w:rFonts w:eastAsia="Times New Roman"/>
          <w:b/>
          <w:color w:val="000000"/>
          <w:lang w:val="ru-RU" w:eastAsia="ru-RU"/>
        </w:rPr>
        <w:t>4</w:t>
      </w:r>
      <w:r>
        <w:rPr>
          <w:rFonts w:eastAsia="Times New Roman"/>
          <w:b/>
          <w:lang w:eastAsia="ru-RU"/>
        </w:rPr>
        <w:t xml:space="preserve"> </w:t>
      </w:r>
      <w:r>
        <w:rPr>
          <w:rFonts w:eastAsia="Times New Roman"/>
          <w:lang w:eastAsia="ru-RU"/>
        </w:rPr>
        <w:t xml:space="preserve">року. </w:t>
      </w:r>
    </w:p>
    <w:p>
      <w:pPr>
        <w:pStyle w:val="Normal"/>
        <w:rPr>
          <w:rFonts w:eastAsia="Times New Roman"/>
          <w:lang w:eastAsia="ru-RU"/>
        </w:rPr>
      </w:pPr>
      <w:r>
        <w:rPr>
          <w:rFonts w:eastAsia="Times New Roman"/>
          <w:lang w:eastAsia="ru-RU"/>
        </w:rPr>
        <w:t xml:space="preserve">5.2. Постачальник постачає товар за адресою: вул. Чумаченка, буд. 21, м. Запоріжжя, Запорізька обл, Україна, 69104. Постачальник самостійно, та за свій рахунок, проводить доставку (враховуючи навантажувально – розвантажувальні роботи) Товару до місць використання. </w:t>
      </w:r>
    </w:p>
    <w:p>
      <w:pPr>
        <w:pStyle w:val="Normal"/>
        <w:rPr>
          <w:rFonts w:eastAsia="Times New Roman"/>
          <w:lang w:eastAsia="ru-RU"/>
        </w:rPr>
      </w:pPr>
      <w:r>
        <w:rPr>
          <w:rFonts w:eastAsia="Times New Roman"/>
          <w:lang w:eastAsia="ru-RU"/>
        </w:rPr>
        <w:t>5.3. Товар поставляється партіями відповідно до погодженого замовлення, в якому зазначається кількість товару. Строк поставки товару - протягом 10 календарних днів після заявки Замовника. В разі відсутності у Постачальника на момент подачі заявки вказаної кількості товару, Постачальник протягом одного робочого дня з моменту отримання заявки повідомляє замовника та Сторони узгоджують інший строк поставки.</w:t>
      </w:r>
    </w:p>
    <w:p>
      <w:pPr>
        <w:pStyle w:val="Normal"/>
        <w:shd w:val="clear" w:color="auto" w:fill="FFFFFF"/>
        <w:spacing w:lineRule="auto" w:line="240" w:before="0" w:after="0"/>
        <w:jc w:val="both"/>
        <w:rPr>
          <w:sz w:val="22"/>
          <w:szCs w:val="22"/>
        </w:rPr>
      </w:pPr>
      <w:r>
        <w:rPr>
          <w:sz w:val="22"/>
          <w:szCs w:val="22"/>
        </w:rPr>
        <w:t xml:space="preserve">5.4.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w:t>
      </w:r>
      <w:r>
        <w:rPr>
          <w:sz w:val="22"/>
          <w:szCs w:val="22"/>
          <w:lang w:val="ru-RU"/>
        </w:rPr>
        <w:t>Замовнику</w:t>
      </w:r>
      <w:r>
        <w:rPr>
          <w:sz w:val="22"/>
          <w:szCs w:val="22"/>
        </w:rPr>
        <w:t>.</w:t>
      </w:r>
    </w:p>
    <w:p>
      <w:pPr>
        <w:pStyle w:val="Normal"/>
        <w:spacing w:lineRule="auto" w:line="240" w:before="0" w:after="0"/>
        <w:jc w:val="both"/>
        <w:rPr>
          <w:sz w:val="22"/>
          <w:szCs w:val="22"/>
        </w:rPr>
      </w:pPr>
      <w:r>
        <w:rPr>
          <w:sz w:val="22"/>
          <w:szCs w:val="22"/>
        </w:rPr>
        <w:t>5.5. Постачальник зобов’язується одночасно з поставкою Товару надати оформлені належним чином видаткову накладну та документи, що підтверджують якість, походження та кількість Товару.</w:t>
      </w:r>
    </w:p>
    <w:p>
      <w:pPr>
        <w:pStyle w:val="Normal"/>
        <w:spacing w:lineRule="auto" w:line="240" w:before="0" w:after="0"/>
        <w:jc w:val="both"/>
        <w:rPr>
          <w:sz w:val="22"/>
          <w:szCs w:val="22"/>
        </w:rPr>
      </w:pPr>
      <w:r>
        <w:rPr>
          <w:sz w:val="22"/>
          <w:szCs w:val="22"/>
        </w:rPr>
        <w:t xml:space="preserve">5.6. </w:t>
      </w:r>
      <w:r>
        <w:rPr>
          <w:sz w:val="22"/>
          <w:szCs w:val="22"/>
          <w:lang w:val="uk-UA"/>
        </w:rPr>
        <w:t>Кожна партія товару, під час поставки, має супроводжуватись документами, що підтверджують їх якість (декларація про відповідність (реєстраційне посвідчення МОЗ України);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українською).</w:t>
      </w:r>
    </w:p>
    <w:p>
      <w:pPr>
        <w:pStyle w:val="Normal"/>
        <w:spacing w:lineRule="auto" w:line="240" w:before="0" w:after="0"/>
        <w:jc w:val="both"/>
        <w:rPr>
          <w:sz w:val="22"/>
          <w:szCs w:val="22"/>
        </w:rPr>
      </w:pPr>
      <w:r>
        <w:rPr>
          <w:sz w:val="22"/>
          <w:szCs w:val="22"/>
          <w:lang w:val="uk-UA"/>
        </w:rPr>
        <w:t>5.7.</w:t>
      </w:r>
      <w:r>
        <w:rPr>
          <w:rFonts w:eastAsia="Times New Roman"/>
          <w:b w:val="false"/>
          <w:i w:val="false"/>
          <w:caps w:val="false"/>
          <w:smallCaps w:val="false"/>
          <w:color w:val="000000"/>
          <w:spacing w:val="0"/>
          <w:sz w:val="22"/>
          <w:szCs w:val="22"/>
          <w:lang w:val="uk-UA" w:eastAsia="ru-RU"/>
        </w:rPr>
        <w:t>Залишковий термін придатності товару на момент поставки складає не менше 80% загального терміну його придатності, зазначеного на упаковці.</w:t>
      </w:r>
      <w:r>
        <w:rPr>
          <w:rFonts w:eastAsia="Times New Roman"/>
          <w:sz w:val="22"/>
          <w:szCs w:val="22"/>
          <w:lang w:val="uk-UA" w:eastAsia="ru-RU"/>
        </w:rPr>
        <w:t xml:space="preserve"> </w:t>
      </w:r>
    </w:p>
    <w:p>
      <w:pPr>
        <w:pStyle w:val="Normal"/>
        <w:spacing w:lineRule="auto" w:line="240" w:before="0" w:after="0"/>
        <w:jc w:val="both"/>
        <w:rPr>
          <w:sz w:val="22"/>
          <w:szCs w:val="22"/>
        </w:rPr>
      </w:pPr>
      <w:r>
        <w:rPr>
          <w:sz w:val="22"/>
          <w:szCs w:val="22"/>
        </w:rPr>
        <w:t xml:space="preserve">5.8. Датою поставки Товару є дата, коли Товар було передано у власність </w:t>
      </w:r>
      <w:r>
        <w:rPr>
          <w:sz w:val="22"/>
          <w:szCs w:val="22"/>
          <w:lang w:val="ru-RU"/>
        </w:rPr>
        <w:t xml:space="preserve">Замовника </w:t>
      </w:r>
      <w:r>
        <w:rPr>
          <w:sz w:val="22"/>
          <w:szCs w:val="22"/>
        </w:rPr>
        <w:t xml:space="preserve">в місці поставки з моменту та на підставі підписаної Сторонами видаткової накладної. Товар вважається переданим </w:t>
      </w:r>
      <w:r>
        <w:rPr>
          <w:sz w:val="22"/>
          <w:szCs w:val="22"/>
          <w:lang w:val="ru-RU"/>
        </w:rPr>
        <w:t>Замовнику</w:t>
      </w:r>
      <w:r>
        <w:rPr>
          <w:sz w:val="22"/>
          <w:szCs w:val="22"/>
        </w:rPr>
        <w:t xml:space="preserve"> у кількості та якості в місці поставки з моменту та на підставі підписаної Сторонами видаткової накладної. </w:t>
      </w:r>
    </w:p>
    <w:p>
      <w:pPr>
        <w:pStyle w:val="Normal"/>
        <w:spacing w:lineRule="auto" w:line="240" w:before="0" w:after="0"/>
        <w:jc w:val="both"/>
        <w:rPr>
          <w:sz w:val="22"/>
          <w:szCs w:val="22"/>
        </w:rPr>
      </w:pPr>
      <w:r>
        <w:rPr>
          <w:rFonts w:eastAsia="Times New Roman"/>
          <w:sz w:val="22"/>
          <w:szCs w:val="22"/>
          <w:lang w:eastAsia="ru-RU"/>
        </w:rPr>
        <w:t xml:space="preserve">5.9. Право власності на Товар переходить від Постачальника до </w:t>
      </w:r>
      <w:r>
        <w:rPr>
          <w:rFonts w:eastAsia="Times New Roman"/>
          <w:sz w:val="22"/>
          <w:szCs w:val="22"/>
          <w:lang w:val="ru-RU" w:eastAsia="ru-RU"/>
        </w:rPr>
        <w:t>Замовника</w:t>
      </w:r>
      <w:r>
        <w:rPr>
          <w:rFonts w:eastAsia="Times New Roman"/>
          <w:sz w:val="22"/>
          <w:szCs w:val="22"/>
          <w:lang w:eastAsia="ru-RU"/>
        </w:rPr>
        <w:t xml:space="preserve"> з моменту підписання Сторонами видаткової накладної та передання Товару Покупцю у місці поставки.</w:t>
      </w:r>
    </w:p>
    <w:p>
      <w:pPr>
        <w:pStyle w:val="Normal"/>
        <w:spacing w:lineRule="auto" w:line="240" w:before="0" w:after="0"/>
        <w:jc w:val="both"/>
        <w:rPr>
          <w:sz w:val="22"/>
          <w:szCs w:val="22"/>
        </w:rPr>
      </w:pPr>
      <w:r>
        <w:rPr>
          <w:rFonts w:eastAsia="Times New Roman"/>
          <w:sz w:val="22"/>
          <w:szCs w:val="22"/>
          <w:lang w:eastAsia="ru-RU"/>
        </w:rPr>
        <w:t>5.10. Будь – яке пересилання документів здійснюється за рахунок Постачальника.</w:t>
      </w:r>
    </w:p>
    <w:p>
      <w:pPr>
        <w:pStyle w:val="Normal"/>
        <w:rPr>
          <w:rFonts w:eastAsia="Times New Roman"/>
          <w:lang w:eastAsia="ru-RU"/>
        </w:rPr>
      </w:pPr>
      <w:r>
        <w:rPr>
          <w:rFonts w:eastAsia="Times New Roman"/>
          <w:lang w:eastAsia="ru-RU"/>
        </w:rPr>
      </w:r>
    </w:p>
    <w:p>
      <w:pPr>
        <w:pStyle w:val="1"/>
        <w:rPr>
          <w:rFonts w:eastAsia="Times New Roman"/>
          <w:lang w:eastAsia="ru-RU"/>
        </w:rPr>
      </w:pPr>
      <w:r>
        <w:rPr>
          <w:rFonts w:eastAsia="Times New Roman"/>
          <w:lang w:eastAsia="ru-RU"/>
        </w:rPr>
        <w:t>6. ПРАВА ТА ОБОВ’ЯЗКИ СТОРІН</w:t>
      </w:r>
    </w:p>
    <w:p>
      <w:pPr>
        <w:pStyle w:val="Normal"/>
        <w:rPr>
          <w:rFonts w:eastAsia="Times New Roman"/>
          <w:lang w:eastAsia="ru-RU"/>
        </w:rPr>
      </w:pPr>
      <w:r>
        <w:rPr>
          <w:rFonts w:eastAsia="Times New Roman"/>
          <w:lang w:eastAsia="ru-RU"/>
        </w:rPr>
        <w:t>6.1. Замовник зобов’язаний:</w:t>
      </w:r>
    </w:p>
    <w:p>
      <w:pPr>
        <w:pStyle w:val="Normal"/>
        <w:rPr>
          <w:rFonts w:eastAsia="Times New Roman"/>
          <w:lang w:eastAsia="ru-RU"/>
        </w:rPr>
      </w:pPr>
      <w:r>
        <w:rPr>
          <w:rFonts w:eastAsia="Times New Roman"/>
          <w:lang w:eastAsia="ru-RU"/>
        </w:rPr>
        <w:t>6.1.1. Своєчасно та в повному обсязі сплатити за поставлений товар.</w:t>
      </w:r>
    </w:p>
    <w:p>
      <w:pPr>
        <w:pStyle w:val="Normal"/>
        <w:rPr>
          <w:rFonts w:eastAsia="Times New Roman"/>
          <w:lang w:eastAsia="ru-RU"/>
        </w:rPr>
      </w:pPr>
      <w:r>
        <w:rPr>
          <w:rFonts w:eastAsia="Times New Roman"/>
          <w:lang w:eastAsia="ru-RU"/>
        </w:rPr>
        <w:t>6.1.2. Прийняти поставлений товар по кількості відповідно до  товаро-супровідних документів, по якості – відповідно до документів, що засвідчують його якість.</w:t>
      </w:r>
    </w:p>
    <w:p>
      <w:pPr>
        <w:pStyle w:val="Normal"/>
        <w:rPr>
          <w:rFonts w:eastAsia="Times New Roman"/>
          <w:lang w:eastAsia="ru-RU"/>
        </w:rPr>
      </w:pPr>
      <w:r>
        <w:rPr>
          <w:rFonts w:eastAsia="Times New Roman"/>
          <w:lang w:eastAsia="ru-RU"/>
        </w:rPr>
        <w:t>6.2. Замовник має право:</w:t>
      </w:r>
    </w:p>
    <w:p>
      <w:pPr>
        <w:pStyle w:val="Normal"/>
        <w:rPr>
          <w:rFonts w:eastAsia="Times New Roman"/>
          <w:lang w:eastAsia="ru-RU"/>
        </w:rPr>
      </w:pPr>
      <w:r>
        <w:rPr>
          <w:rFonts w:eastAsia="Times New Roman"/>
          <w:lang w:eastAsia="ru-RU"/>
        </w:rPr>
        <w:t>6.2.1. У разі невиконання зобов’язань Постачальником Замовник має право достроково розірвати цей договір, повідомивши про це постачальника у строк не пізніше ніж за 14 календарних днів з дня настання підстав для розірвання договору;</w:t>
      </w:r>
    </w:p>
    <w:p>
      <w:pPr>
        <w:pStyle w:val="Normal"/>
        <w:rPr>
          <w:rFonts w:eastAsia="Times New Roman"/>
          <w:lang w:eastAsia="ru-RU"/>
        </w:rPr>
      </w:pPr>
      <w:r>
        <w:rPr>
          <w:rFonts w:eastAsia="Times New Roman"/>
          <w:lang w:eastAsia="ru-RU"/>
        </w:rPr>
        <w:t>6.2.2. Зменшувати обсяг та номенклатуру товарів та загальну вартість договору залежно від реального фінансування видатків. У такому разі сторони вносять відповідні зміни до договору;</w:t>
      </w:r>
    </w:p>
    <w:p>
      <w:pPr>
        <w:pStyle w:val="Normal"/>
        <w:rPr>
          <w:rFonts w:eastAsia="Times New Roman"/>
          <w:lang w:eastAsia="ru-RU"/>
        </w:rPr>
      </w:pPr>
      <w:r>
        <w:rPr>
          <w:rFonts w:eastAsia="Times New Roman"/>
          <w:lang w:eastAsia="ru-RU"/>
        </w:rPr>
        <w:t>6.2.3. Повернути рахунок та накладну виконавцеві без здійснення оплати в разі неналежного оформлення документів, зазначених у пунктах 4.2. і 4.3. договору (відсутність печатки, підписів тощо).</w:t>
      </w:r>
    </w:p>
    <w:p>
      <w:pPr>
        <w:pStyle w:val="Normal"/>
        <w:rPr>
          <w:rFonts w:eastAsia="Times New Roman"/>
          <w:lang w:eastAsia="ru-RU"/>
        </w:rPr>
      </w:pPr>
      <w:r>
        <w:rPr>
          <w:rFonts w:eastAsia="Times New Roman"/>
          <w:lang w:eastAsia="ru-RU"/>
        </w:rPr>
        <w:t>6.3. Постачальник зобов’язаний:</w:t>
      </w:r>
    </w:p>
    <w:p>
      <w:pPr>
        <w:pStyle w:val="Normal"/>
        <w:rPr>
          <w:rFonts w:eastAsia="Times New Roman"/>
          <w:lang w:eastAsia="ru-RU"/>
        </w:rPr>
      </w:pPr>
      <w:r>
        <w:rPr>
          <w:rFonts w:eastAsia="Times New Roman"/>
          <w:lang w:eastAsia="ru-RU"/>
        </w:rPr>
        <w:t xml:space="preserve">6.3.1. Забезпечити поставку товарів у строки, встановлені цим договором, у місце визначене Замовником (п.5.2. Договору), у кількості та на умовах згідно вимог Замовника. </w:t>
      </w:r>
    </w:p>
    <w:p>
      <w:pPr>
        <w:pStyle w:val="Normal"/>
        <w:rPr>
          <w:rFonts w:eastAsia="Times New Roman"/>
          <w:lang w:eastAsia="ru-RU"/>
        </w:rPr>
      </w:pPr>
      <w:r>
        <w:rPr>
          <w:rFonts w:eastAsia="Times New Roman"/>
          <w:lang w:eastAsia="ru-RU"/>
        </w:rPr>
        <w:t>6.3.2. Забезпечити поставку товарів, якість яких відповідає умовам, встановленим цим договором.</w:t>
      </w:r>
    </w:p>
    <w:p>
      <w:pPr>
        <w:pStyle w:val="Normal"/>
        <w:rPr>
          <w:rFonts w:eastAsia="Times New Roman"/>
          <w:lang w:eastAsia="ru-RU"/>
        </w:rPr>
      </w:pPr>
      <w:r>
        <w:rPr>
          <w:rFonts w:eastAsia="Times New Roman"/>
          <w:lang w:eastAsia="ru-RU"/>
        </w:rPr>
        <w:t>6.4. Постачальник має право:</w:t>
      </w:r>
    </w:p>
    <w:p>
      <w:pPr>
        <w:pStyle w:val="Normal"/>
        <w:rPr>
          <w:rFonts w:eastAsia="Times New Roman"/>
          <w:lang w:eastAsia="ru-RU"/>
        </w:rPr>
      </w:pPr>
      <w:r>
        <w:rPr>
          <w:rFonts w:eastAsia="Times New Roman"/>
          <w:lang w:eastAsia="ru-RU"/>
        </w:rPr>
        <w:t>6.4.1. Своєчасно та в повному обсязі отримати плату за поставлений товар;</w:t>
      </w:r>
    </w:p>
    <w:p>
      <w:pPr>
        <w:pStyle w:val="Normal"/>
        <w:rPr>
          <w:rFonts w:eastAsia="Times New Roman"/>
          <w:lang w:eastAsia="ru-RU"/>
        </w:rPr>
      </w:pPr>
      <w:r>
        <w:rPr>
          <w:rFonts w:eastAsia="Times New Roman"/>
          <w:lang w:eastAsia="ru-RU"/>
        </w:rPr>
        <w:t>6.4.2. На дострокову поставку товару за письмовим погодженням замовника;</w:t>
      </w:r>
    </w:p>
    <w:p>
      <w:pPr>
        <w:pStyle w:val="Normal"/>
        <w:jc w:val="center"/>
        <w:rPr>
          <w:rFonts w:eastAsia="Times New Roman"/>
          <w:b/>
          <w:b/>
          <w:bCs/>
          <w:lang w:eastAsia="ru-RU"/>
        </w:rPr>
      </w:pPr>
      <w:r>
        <w:rPr>
          <w:rFonts w:eastAsia="Times New Roman"/>
          <w:b/>
          <w:bCs/>
          <w:lang w:eastAsia="ru-RU"/>
        </w:rPr>
      </w:r>
    </w:p>
    <w:p>
      <w:pPr>
        <w:pStyle w:val="1"/>
        <w:rPr>
          <w:rFonts w:eastAsia="Times New Roman"/>
          <w:lang w:eastAsia="ru-RU"/>
        </w:rPr>
      </w:pPr>
      <w:r>
        <w:rPr>
          <w:rFonts w:eastAsia="Times New Roman"/>
          <w:lang w:eastAsia="ru-RU"/>
        </w:rPr>
        <w:t>7. ВІДПОВІДАЛЬНІСТЬ СТОРІН</w:t>
      </w:r>
    </w:p>
    <w:p>
      <w:pPr>
        <w:pStyle w:val="Normal"/>
        <w:rPr>
          <w:rFonts w:eastAsia="Times New Roman"/>
          <w:lang w:eastAsia="ru-RU"/>
        </w:rPr>
      </w:pPr>
      <w:r>
        <w:rPr>
          <w:rFonts w:eastAsia="Times New Roman"/>
          <w:lang w:eastAsia="ru-RU"/>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pPr>
        <w:pStyle w:val="Normal"/>
        <w:rPr>
          <w:rFonts w:eastAsia="Times New Roman"/>
          <w:lang w:eastAsia="ru-RU"/>
        </w:rPr>
      </w:pPr>
      <w:r>
        <w:rPr>
          <w:rFonts w:eastAsia="Times New Roman"/>
          <w:lang w:eastAsia="ru-RU"/>
        </w:rPr>
        <w:t xml:space="preserve">7.2. У разі затримки поставок, або поставок не в повному обсязі, заявленому Замовником, Постачальник сплачує пеню не нижче подвійної  облікової ставки НБУ за кожний день прострочки. </w:t>
      </w:r>
    </w:p>
    <w:p>
      <w:pPr>
        <w:pStyle w:val="Normal"/>
        <w:rPr>
          <w:rFonts w:eastAsia="Times New Roman"/>
          <w:lang w:eastAsia="ru-RU"/>
        </w:rPr>
      </w:pPr>
      <w:r>
        <w:rPr>
          <w:rFonts w:eastAsia="Times New Roman"/>
          <w:lang w:eastAsia="ru-RU"/>
        </w:rPr>
        <w:t xml:space="preserve"> </w:t>
      </w:r>
      <w:r>
        <w:rPr>
          <w:rFonts w:eastAsia="Times New Roman"/>
          <w:lang w:eastAsia="ru-RU"/>
        </w:rPr>
        <w:t>7.3 Оплата Замовником за поставлений товар здійснюється протягом 10 робочих днів днів з дати отримання призначення на фінансування закупівлі на свій реєстраційний рахунок.</w:t>
      </w:r>
    </w:p>
    <w:p>
      <w:pPr>
        <w:pStyle w:val="Normal"/>
        <w:rPr>
          <w:rFonts w:eastAsia="Times New Roman"/>
          <w:lang w:eastAsia="ru-RU"/>
        </w:rPr>
      </w:pPr>
      <w:r>
        <w:rPr>
          <w:rFonts w:eastAsia="Times New Roman"/>
          <w:lang w:eastAsia="ru-RU"/>
        </w:rPr>
        <w:t>7.4 Днем отримання товару вважається день підписання сторонами або їх уповноваженими представниками відповідних документів.</w:t>
      </w:r>
    </w:p>
    <w:p>
      <w:pPr>
        <w:pStyle w:val="Normal"/>
        <w:rPr>
          <w:rFonts w:eastAsia="Times New Roman"/>
          <w:lang w:eastAsia="ru-RU"/>
        </w:rPr>
      </w:pPr>
      <w:r>
        <w:rPr>
          <w:rFonts w:eastAsia="Times New Roman"/>
          <w:lang w:eastAsia="ru-RU"/>
        </w:rPr>
        <w:t>7.5. Сплата пені не звільняє Сторону від виконання прийнятих на себе зобов’язань по Договору поставки.</w:t>
      </w:r>
    </w:p>
    <w:p>
      <w:pPr>
        <w:pStyle w:val="Normal"/>
        <w:spacing w:lineRule="auto" w:line="240" w:before="0" w:after="0"/>
        <w:ind w:hanging="0"/>
        <w:jc w:val="both"/>
        <w:rPr>
          <w:sz w:val="22"/>
          <w:szCs w:val="22"/>
        </w:rPr>
      </w:pPr>
      <w:r>
        <w:rPr>
          <w:sz w:val="22"/>
          <w:szCs w:val="22"/>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pPr>
        <w:pStyle w:val="Normal"/>
        <w:spacing w:lineRule="auto" w:line="240" w:before="0" w:after="0"/>
        <w:ind w:hanging="0"/>
        <w:jc w:val="both"/>
        <w:rPr>
          <w:sz w:val="22"/>
          <w:szCs w:val="22"/>
        </w:rPr>
      </w:pPr>
      <w:r>
        <w:rPr>
          <w:rFonts w:eastAsia="Times New Roman"/>
          <w:sz w:val="22"/>
          <w:szCs w:val="22"/>
          <w:lang w:eastAsia="ru-RU"/>
        </w:rPr>
        <w:t>7.7. У випадках, не передбачених умовами цього Договору, Сторони несуть відповідальність, передбачену чинним законодавством України.</w:t>
      </w:r>
    </w:p>
    <w:p>
      <w:pPr>
        <w:pStyle w:val="Normal"/>
        <w:jc w:val="center"/>
        <w:rPr>
          <w:rFonts w:eastAsia="Times New Roman"/>
          <w:b/>
          <w:b/>
          <w:bCs/>
          <w:lang w:eastAsia="ru-RU"/>
        </w:rPr>
      </w:pPr>
      <w:r>
        <w:rPr>
          <w:rFonts w:eastAsia="Times New Roman"/>
          <w:b/>
          <w:bCs/>
          <w:lang w:eastAsia="ru-RU"/>
        </w:rPr>
      </w:r>
    </w:p>
    <w:p>
      <w:pPr>
        <w:pStyle w:val="1"/>
        <w:rPr>
          <w:rFonts w:eastAsia="Times New Roman"/>
          <w:lang w:eastAsia="ru-RU"/>
        </w:rPr>
      </w:pPr>
      <w:r>
        <w:rPr>
          <w:rFonts w:eastAsia="Times New Roman"/>
          <w:lang w:eastAsia="ru-RU"/>
        </w:rPr>
        <w:t>8. ОБСТАВИНИ НЕПЕРЕБОРНОЇ СИЛИ</w:t>
      </w:r>
    </w:p>
    <w:p>
      <w:pPr>
        <w:pStyle w:val="Normal"/>
        <w:rPr>
          <w:rFonts w:eastAsia="Times New Roman"/>
          <w:lang w:eastAsia="ru-RU"/>
        </w:rPr>
      </w:pPr>
      <w:r>
        <w:rPr>
          <w:rFonts w:eastAsia="Times New Roman"/>
          <w:b/>
          <w:bCs/>
          <w:lang w:eastAsia="ru-RU"/>
        </w:rPr>
        <w:t> </w:t>
      </w:r>
      <w:r>
        <w:rPr>
          <w:rFonts w:eastAsia="Times New Roman"/>
          <w:lang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pPr>
        <w:pStyle w:val="Normal"/>
        <w:rPr>
          <w:rFonts w:eastAsia="Times New Roman"/>
          <w:lang w:eastAsia="ru-RU"/>
        </w:rPr>
      </w:pPr>
      <w:r>
        <w:rPr>
          <w:rFonts w:eastAsia="Times New Roman"/>
          <w:lang w:eastAsia="ru-RU"/>
        </w:rPr>
        <w:t>8.2. Сторона, що не може виконувати зобов’язання за контрактом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pPr>
        <w:pStyle w:val="Normal"/>
        <w:rPr>
          <w:rFonts w:eastAsia="Times New Roman"/>
          <w:lang w:eastAsia="ru-RU"/>
        </w:rPr>
      </w:pPr>
      <w:r>
        <w:rPr>
          <w:rFonts w:eastAsia="Times New Roman"/>
          <w:lang w:eastAsia="ru-RU"/>
        </w:rPr>
        <w:t>8.3. Доказом виникнення обставин непереборної сили та строку їх дії є довідка, яка видається  уповноваженим органом.</w:t>
      </w:r>
    </w:p>
    <w:p>
      <w:pPr>
        <w:pStyle w:val="Normal"/>
        <w:rPr>
          <w:rFonts w:eastAsia="Times New Roman"/>
          <w:lang w:eastAsia="ru-RU"/>
        </w:rPr>
      </w:pPr>
      <w:r>
        <w:rPr>
          <w:rFonts w:eastAsia="Times New Roman"/>
          <w:lang w:eastAsia="ru-RU"/>
        </w:rPr>
        <w:t>8.4. У разі коли строк дії обставин непереборної сили продовжується більш як 30 календарних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pPr>
        <w:pStyle w:val="Normal"/>
        <w:rPr>
          <w:rFonts w:eastAsia="Times New Roman"/>
          <w:lang w:eastAsia="ru-RU"/>
        </w:rPr>
      </w:pPr>
      <w:r>
        <w:rPr>
          <w:rFonts w:eastAsia="Times New Roman"/>
          <w:lang w:eastAsia="ru-RU"/>
        </w:rPr>
      </w:r>
    </w:p>
    <w:p>
      <w:pPr>
        <w:pStyle w:val="1"/>
        <w:rPr>
          <w:rFonts w:eastAsia="Times New Roman"/>
          <w:lang w:eastAsia="ru-RU"/>
        </w:rPr>
      </w:pPr>
      <w:r>
        <w:rPr>
          <w:rFonts w:eastAsia="Times New Roman"/>
          <w:lang w:eastAsia="ru-RU"/>
        </w:rPr>
        <w:t>9. ВИРІШЕННЯ СПОРІВ</w:t>
      </w:r>
    </w:p>
    <w:p>
      <w:pPr>
        <w:pStyle w:val="Normal"/>
        <w:rPr>
          <w:rFonts w:eastAsia="Times New Roman"/>
          <w:lang w:eastAsia="ru-RU"/>
        </w:rPr>
      </w:pPr>
      <w:r>
        <w:rPr>
          <w:rFonts w:eastAsia="Times New Roman"/>
          <w:lang w:eastAsia="ru-RU"/>
        </w:rPr>
        <w:t>9.1. У випадку виникнення спорів або розбіжностей Сторони зобов’язуються вирішувати  їх  шляхом  взаємних  переговорів  та  консультацій.</w:t>
      </w:r>
    </w:p>
    <w:p>
      <w:pPr>
        <w:pStyle w:val="Normal"/>
        <w:rPr>
          <w:sz w:val="22"/>
          <w:szCs w:val="22"/>
        </w:rPr>
      </w:pPr>
      <w:r>
        <w:rPr>
          <w:rFonts w:eastAsia="Times New Roman"/>
          <w:sz w:val="22"/>
          <w:szCs w:val="22"/>
          <w:lang w:eastAsia="ru-RU"/>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pPr>
        <w:pStyle w:val="Normal"/>
        <w:rPr>
          <w:rFonts w:eastAsia="Times New Roman"/>
          <w:lang w:eastAsia="ru-RU"/>
        </w:rPr>
      </w:pPr>
      <w:r>
        <w:rPr>
          <w:rFonts w:eastAsia="Times New Roman"/>
          <w:lang w:eastAsia="ru-RU"/>
        </w:rPr>
      </w:r>
    </w:p>
    <w:p>
      <w:pPr>
        <w:pStyle w:val="1"/>
        <w:rPr>
          <w:rFonts w:eastAsia="Times New Roman"/>
          <w:lang w:eastAsia="ru-RU"/>
        </w:rPr>
      </w:pPr>
      <w:r>
        <w:rPr>
          <w:rFonts w:eastAsia="Times New Roman"/>
          <w:lang w:eastAsia="ru-RU"/>
        </w:rPr>
        <w:t>10. СТРОК ДІЇ ДОГОВОРУ</w:t>
      </w:r>
    </w:p>
    <w:p>
      <w:pPr>
        <w:pStyle w:val="Normal"/>
        <w:rPr>
          <w:rFonts w:eastAsia="Times New Roman"/>
          <w:lang w:eastAsia="ru-RU"/>
        </w:rPr>
      </w:pPr>
      <w:r>
        <w:rPr>
          <w:rFonts w:eastAsia="Times New Roman"/>
          <w:lang w:eastAsia="ru-RU"/>
        </w:rPr>
        <w:t>10.1. Договір укладається і підписується у двох примірниках, що мають однакову юридичну силу.</w:t>
      </w:r>
    </w:p>
    <w:p>
      <w:pPr>
        <w:pStyle w:val="Normal"/>
        <w:rPr>
          <w:rFonts w:eastAsia="Times New Roman"/>
          <w:lang w:eastAsia="ru-RU"/>
        </w:rPr>
      </w:pPr>
      <w:r>
        <w:rPr>
          <w:rFonts w:eastAsia="Times New Roman"/>
          <w:lang w:eastAsia="ru-RU"/>
        </w:rPr>
        <w:t>10.2. Договір набирає чинності з дня його підписання сторонами і діє до 31.12.2024 року, а в частині взаєморозрахунків та гарантійних зобов’</w:t>
      </w:r>
      <w:r>
        <w:rPr>
          <w:rFonts w:eastAsia="Times New Roman"/>
          <w:lang w:val="ru-RU" w:eastAsia="ru-RU"/>
        </w:rPr>
        <w:t xml:space="preserve">язань до повного </w:t>
      </w:r>
      <w:r>
        <w:rPr>
          <w:rFonts w:eastAsia="Times New Roman"/>
          <w:lang w:eastAsia="ru-RU"/>
        </w:rPr>
        <w:t>їх виконання Сторонами.</w:t>
      </w:r>
    </w:p>
    <w:p>
      <w:pPr>
        <w:pStyle w:val="Normal"/>
        <w:rPr>
          <w:rFonts w:eastAsia="Times New Roman"/>
          <w:lang w:eastAsia="ru-RU"/>
        </w:rPr>
      </w:pPr>
      <w:r>
        <w:rPr>
          <w:rFonts w:eastAsia="Times New Roman"/>
          <w:lang w:eastAsia="ru-RU"/>
        </w:rPr>
      </w:r>
    </w:p>
    <w:p>
      <w:pPr>
        <w:pStyle w:val="1"/>
        <w:rPr>
          <w:rFonts w:eastAsia="Times New Roman"/>
          <w:lang w:eastAsia="ru-RU"/>
        </w:rPr>
      </w:pPr>
      <w:r>
        <w:rPr>
          <w:rFonts w:eastAsia="Times New Roman"/>
          <w:lang w:eastAsia="ru-RU"/>
        </w:rPr>
        <w:t>11. ІНШІ УМОВИ</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rPr>
          <w:rFonts w:eastAsia="Times New Roman"/>
          <w:lang w:eastAsia="ru-RU"/>
        </w:rPr>
      </w:pPr>
      <w:r>
        <w:rPr>
          <w:rFonts w:eastAsia="Times New Roman"/>
          <w:lang w:eastAsia="ru-RU"/>
        </w:rPr>
        <w:t>11.1. Зміни та доповнення до Договору вносяться шляхом складання та підписання відповідних письмових угод, які є невід’ємною частиною договору.</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rPr>
          <w:rFonts w:eastAsia="Times New Roman"/>
          <w:lang w:eastAsia="ru-RU"/>
        </w:rPr>
      </w:pPr>
      <w:r>
        <w:rPr>
          <w:rFonts w:eastAsia="Times New Roman"/>
          <w:lang w:eastAsia="ru-RU"/>
        </w:rPr>
        <w:t>11.2.  Дія Договору припиняться:</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lang w:eastAsia="ru-RU"/>
        </w:rPr>
      </w:pPr>
      <w:r>
        <w:rPr>
          <w:rFonts w:eastAsia="Times New Roman"/>
          <w:lang w:eastAsia="ru-RU"/>
        </w:rPr>
        <w:t>- повним виконанням Сторонами своїх зобов'язань за цим Договором;</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lang w:eastAsia="ru-RU"/>
        </w:rPr>
      </w:pPr>
      <w:r>
        <w:rPr>
          <w:rFonts w:eastAsia="Times New Roman"/>
          <w:lang w:eastAsia="ru-RU"/>
        </w:rPr>
        <w:t>- за згодою Сторін;</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lang w:eastAsia="ru-RU"/>
        </w:rPr>
      </w:pPr>
      <w:r>
        <w:rPr>
          <w:rFonts w:eastAsia="Times New Roman"/>
          <w:lang w:eastAsia="ru-RU"/>
        </w:rPr>
        <w:t>- з інших підстав, передбачених чинним законодавством України.</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rPr>
          <w:rFonts w:eastAsia="Times New Roman"/>
          <w:lang w:eastAsia="ru-RU"/>
        </w:rPr>
      </w:pPr>
      <w:r>
        <w:rPr>
          <w:rFonts w:eastAsia="Times New Roman"/>
          <w:lang w:eastAsia="ru-RU"/>
        </w:rPr>
        <w:t>11.3.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lang w:eastAsia="ru-RU"/>
        </w:rPr>
      </w:pPr>
      <w:r>
        <w:rPr>
          <w:rFonts w:eastAsia="Times New Roman"/>
          <w:lang w:eastAsia="ru-RU"/>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lang w:eastAsia="ru-RU"/>
        </w:rPr>
      </w:pPr>
      <w:r>
        <w:rPr>
          <w:rFonts w:eastAsia="Times New Roman"/>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lang w:eastAsia="ru-RU"/>
        </w:rPr>
      </w:pPr>
      <w:r>
        <w:rPr>
          <w:rFonts w:eastAsia="Times New Roman"/>
          <w:lang w:eastAsia="ru-RU"/>
        </w:rPr>
        <w:t>-</w:t>
        <w:tab/>
        <w:t>визначення грошового еквівалента зобов’язання в іноземній валюті;</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lang w:eastAsia="ru-RU"/>
        </w:rPr>
      </w:pPr>
      <w:r>
        <w:rPr>
          <w:rFonts w:eastAsia="Times New Roman"/>
          <w:lang w:eastAsia="ru-RU"/>
        </w:rPr>
        <w:t>-</w:t>
        <w:tab/>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lang w:eastAsia="ru-RU"/>
        </w:rPr>
      </w:pPr>
      <w:r>
        <w:rPr>
          <w:rFonts w:eastAsia="Times New Roman"/>
          <w:lang w:eastAsia="ru-RU"/>
        </w:rPr>
        <w:t>-</w:t>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lang w:eastAsia="ru-RU"/>
        </w:rPr>
      </w:pPr>
      <w:r>
        <w:rPr>
          <w:rFonts w:eastAsia="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hanging="0"/>
        <w:jc w:val="both"/>
        <w:rPr>
          <w:rFonts w:ascii="Times New Roman" w:hAnsi="Times New Roman" w:eastAsia="Times New Roman" w:cs="Times New Roman"/>
          <w:lang w:val="uk-UA" w:eastAsia="ru-RU"/>
        </w:rPr>
      </w:pPr>
      <w:r>
        <w:rPr>
          <w:rFonts w:eastAsia="Times New Roman" w:cs="Times New Roman"/>
          <w:lang w:val="uk-UA" w:eastAsia="ru-RU"/>
        </w:rPr>
        <w:t>11.3.1. Зменшення обсягів закупівлі, зокрема з урахуванням фактичного обсягу видатків Покупця. 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зменшується залежно від зміни таких обсягів;</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 xml:space="preserve">11.3.2.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 xml:space="preserve">11.3.3. Покращення якості предмета закупівлі за умови, що таке покращення не призведе до збільшення суми, визначеної в Договорі. </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 xml:space="preserve">11.3.4. 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11.3.5. Погодження зміни ціни в Договорі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11.3.6.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 xml:space="preserve">11.3.7.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 </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Pr>
          <w:rFonts w:cs="Times New Roman"/>
          <w:lang w:val="uk-UA" w:eastAsia="ru-RU"/>
        </w:rPr>
        <w:t xml:space="preserve"> </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rPr>
          <w:rFonts w:eastAsia="Times New Roman"/>
          <w:lang w:eastAsia="ru-RU"/>
        </w:rPr>
      </w:pPr>
      <w:r>
        <w:rPr>
          <w:rFonts w:eastAsia="Times New Roman" w:cs="Times New Roman"/>
          <w:lang w:val="uk-UA" w:eastAsia="ru-RU"/>
        </w:rPr>
        <w:t>11.3.8. 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20% будуть відраховуватись від початкової суми укладеного Договору на момент укладення Договору згідно з ціною переможця процедури закупівлі.</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Times New Roman"/>
          <w:lang w:eastAsia="ru-RU"/>
        </w:rPr>
      </w:pPr>
      <w:r>
        <w:rPr>
          <w:rFonts w:eastAsia="Times New Roman"/>
          <w:lang w:eastAsia="ru-RU"/>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rPr>
          <w:rFonts w:eastAsia="Times New Roman"/>
          <w:lang w:eastAsia="ru-RU"/>
        </w:rPr>
      </w:pPr>
      <w:r>
        <w:rPr>
          <w:rFonts w:eastAsia="Times New Roman"/>
          <w:lang w:eastAsia="ru-RU"/>
        </w:rPr>
        <w:t xml:space="preserve">11.4.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rPr>
          <w:rFonts w:eastAsia="Calibri"/>
        </w:rPr>
      </w:pPr>
      <w:r>
        <w:rPr>
          <w:rFonts w:eastAsia="Times New Roman"/>
          <w:lang w:eastAsia="ru-RU"/>
        </w:rPr>
        <w:t>11.5. 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Calibri"/>
          <w:sz w:val="22"/>
          <w:szCs w:val="22"/>
        </w:rPr>
      </w:pPr>
      <w:r>
        <w:rPr>
          <w:rFonts w:eastAsia="Calibri"/>
          <w:sz w:val="22"/>
          <w:szCs w:val="22"/>
        </w:rPr>
      </w:r>
    </w:p>
    <w:p>
      <w:pPr>
        <w:pStyle w:val="TableParagraph"/>
        <w:ind w:left="0" w:hanging="0"/>
        <w:jc w:val="center"/>
        <w:rPr>
          <w:sz w:val="22"/>
          <w:szCs w:val="22"/>
        </w:rPr>
      </w:pPr>
      <w:r>
        <w:rPr>
          <w:b/>
          <w:bCs/>
          <w:sz w:val="22"/>
          <w:szCs w:val="22"/>
        </w:rPr>
        <w:t>12. ОПЕРАТИВНО-ГОСПОДАРСЬКІ САНКЦІЇ</w:t>
      </w:r>
    </w:p>
    <w:p>
      <w:pPr>
        <w:pStyle w:val="TableParagraph"/>
        <w:ind w:left="0" w:hanging="0"/>
        <w:jc w:val="both"/>
        <w:rPr>
          <w:sz w:val="22"/>
          <w:szCs w:val="22"/>
        </w:rPr>
      </w:pPr>
      <w:r>
        <w:rPr>
          <w:sz w:val="22"/>
          <w:szCs w:val="22"/>
        </w:rPr>
        <w:t>12.1.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TableParagraph"/>
        <w:ind w:left="0" w:hanging="0"/>
        <w:jc w:val="both"/>
        <w:rPr>
          <w:sz w:val="22"/>
          <w:szCs w:val="22"/>
        </w:rPr>
      </w:pPr>
      <w:r>
        <w:rPr>
          <w:sz w:val="22"/>
          <w:szCs w:val="22"/>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TableParagraph"/>
        <w:ind w:left="0" w:hanging="0"/>
        <w:jc w:val="both"/>
        <w:rPr>
          <w:sz w:val="22"/>
          <w:szCs w:val="22"/>
        </w:rPr>
      </w:pPr>
      <w:r>
        <w:rPr>
          <w:sz w:val="22"/>
          <w:szCs w:val="22"/>
        </w:rPr>
        <w:t>- якості наданих послуг;</w:t>
      </w:r>
    </w:p>
    <w:p>
      <w:pPr>
        <w:pStyle w:val="TableParagraph"/>
        <w:ind w:left="0" w:hanging="0"/>
        <w:jc w:val="both"/>
        <w:rPr>
          <w:sz w:val="22"/>
          <w:szCs w:val="22"/>
        </w:rPr>
      </w:pPr>
      <w:r>
        <w:rPr>
          <w:sz w:val="22"/>
          <w:szCs w:val="22"/>
        </w:rPr>
        <w:t>- розірвання аналогічного за своєю природою Договору з Постачальником у разі прострочення - строку надання послуг;</w:t>
      </w:r>
    </w:p>
    <w:p>
      <w:pPr>
        <w:pStyle w:val="TableParagraph"/>
        <w:ind w:left="0" w:hanging="0"/>
        <w:jc w:val="both"/>
        <w:rPr>
          <w:sz w:val="22"/>
          <w:szCs w:val="22"/>
        </w:rPr>
      </w:pPr>
      <w:r>
        <w:rPr>
          <w:sz w:val="22"/>
          <w:szCs w:val="22"/>
        </w:rPr>
        <w:t>- розірвання аналогічного за своєю природою Договору з Постачальником у разі прострочення строку усунення дефектів.</w:t>
      </w:r>
    </w:p>
    <w:p>
      <w:pPr>
        <w:pStyle w:val="TableParagraph"/>
        <w:ind w:left="0" w:hanging="0"/>
        <w:jc w:val="both"/>
        <w:rPr>
          <w:sz w:val="22"/>
          <w:szCs w:val="22"/>
        </w:rPr>
      </w:pPr>
      <w:r>
        <w:rPr>
          <w:sz w:val="22"/>
          <w:szCs w:val="22"/>
        </w:rPr>
        <w:t>12.3. У разі порушення Постачальником умов щодо порядку та строків поставки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TableParagraph"/>
        <w:spacing w:before="0" w:after="0"/>
        <w:ind w:left="0" w:hanging="0"/>
        <w:jc w:val="both"/>
        <w:rPr>
          <w:b w:val="false"/>
          <w:b w:val="false"/>
          <w:bCs w:val="false"/>
          <w:sz w:val="22"/>
          <w:szCs w:val="22"/>
        </w:rPr>
      </w:pPr>
      <w:r>
        <w:rPr>
          <w:rFonts w:eastAsia="Times New Roman" w:cs="Times New Roman"/>
          <w:b w:val="false"/>
          <w:bCs w:val="false"/>
          <w:sz w:val="22"/>
          <w:szCs w:val="22"/>
          <w:lang w:val="uk-UA" w:eastAsia="ru-UA"/>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pPr>
        <w:pStyle w:val="Normal"/>
        <w:spacing w:before="0" w:after="0"/>
        <w:jc w:val="center"/>
        <w:rPr>
          <w:sz w:val="22"/>
          <w:szCs w:val="22"/>
        </w:rPr>
      </w:pPr>
      <w:r>
        <w:rPr>
          <w:rFonts w:eastAsia="Times New Roman" w:cs="Times New Roman"/>
          <w:b/>
          <w:sz w:val="22"/>
          <w:szCs w:val="22"/>
          <w:lang w:val="uk-UA" w:eastAsia="ru-UA"/>
        </w:rPr>
        <w:t>13. АНТИКОРУПЦІЙНЕ ЗАСТЕРЕЖЕННЯ</w:t>
      </w:r>
    </w:p>
    <w:p>
      <w:pPr>
        <w:pStyle w:val="Normal"/>
        <w:spacing w:before="0" w:after="0"/>
        <w:ind w:hanging="0"/>
        <w:jc w:val="both"/>
        <w:rPr>
          <w:sz w:val="22"/>
          <w:szCs w:val="22"/>
        </w:rPr>
      </w:pPr>
      <w:r>
        <w:rPr>
          <w:rFonts w:eastAsia="Times New Roman" w:cs="Times New Roman"/>
          <w:sz w:val="22"/>
          <w:szCs w:val="22"/>
          <w:lang w:val="uk-UA" w:eastAsia="ru-UA"/>
        </w:rPr>
        <w:t>13.1. Сторони підтверджують, що під час виконання цього договору про закупівлю Сторони, а також їх кваліфіковані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hanging="0"/>
        <w:jc w:val="both"/>
        <w:rPr>
          <w:sz w:val="22"/>
          <w:szCs w:val="22"/>
        </w:rPr>
      </w:pPr>
      <w:r>
        <w:rPr>
          <w:rFonts w:eastAsia="Times New Roman" w:cs="Times New Roman"/>
          <w:sz w:val="22"/>
          <w:szCs w:val="22"/>
          <w:lang w:val="uk-UA" w:eastAsia="ru-UA"/>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pPr>
        <w:pStyle w:val="Normal"/>
        <w:widowControl w:val="false"/>
        <w:tabs>
          <w:tab w:val="clear" w:pos="708"/>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Calibri"/>
          <w:b/>
          <w:b/>
          <w:bCs/>
          <w:lang w:eastAsia="ru-RU"/>
        </w:rPr>
      </w:pPr>
      <w:r>
        <w:rPr>
          <w:rFonts w:eastAsia="Calibri"/>
          <w:b/>
          <w:bCs/>
          <w:lang w:eastAsia="ru-RU"/>
        </w:rPr>
      </w:r>
    </w:p>
    <w:p>
      <w:pPr>
        <w:pStyle w:val="1"/>
        <w:rPr>
          <w:rFonts w:eastAsia="SimSun"/>
        </w:rPr>
      </w:pPr>
      <w:r>
        <w:rPr>
          <w:rFonts w:eastAsia="Calibri"/>
        </w:rPr>
        <w:t>14. МІСЦЕЗНАХОДЖЕННЯ ТА БАНКІВСЬКІ РЕКВІЗИТИ СТОРІН</w:t>
      </w:r>
    </w:p>
    <w:p>
      <w:pPr>
        <w:pStyle w:val="Normal"/>
        <w:jc w:val="left"/>
        <w:rPr>
          <w:rFonts w:eastAsia="Calibri"/>
          <w:b/>
          <w:b/>
        </w:rPr>
      </w:pPr>
      <w:r>
        <w:rPr>
          <w:rFonts w:eastAsia="Calibri"/>
          <w:b/>
        </w:rPr>
      </w:r>
    </w:p>
    <w:tbl>
      <w:tblPr>
        <w:tblW w:w="9662" w:type="dxa"/>
        <w:jc w:val="left"/>
        <w:tblInd w:w="28" w:type="dxa"/>
        <w:tblLayout w:type="fixed"/>
        <w:tblCellMar>
          <w:top w:w="0" w:type="dxa"/>
          <w:left w:w="28" w:type="dxa"/>
          <w:bottom w:w="0" w:type="dxa"/>
          <w:right w:w="28" w:type="dxa"/>
        </w:tblCellMar>
        <w:tblLook w:firstRow="1" w:noVBand="1" w:lastRow="0" w:firstColumn="1" w:lastColumn="0" w:noHBand="0" w:val="04a0"/>
      </w:tblPr>
      <w:tblGrid>
        <w:gridCol w:w="4820"/>
        <w:gridCol w:w="4841"/>
      </w:tblGrid>
      <w:tr>
        <w:trPr>
          <w:trHeight w:val="293" w:hRule="atLeast"/>
        </w:trPr>
        <w:tc>
          <w:tcPr>
            <w:tcW w:w="4820" w:type="dxa"/>
            <w:tcBorders/>
            <w:shd w:color="auto" w:fill="FFFFFF" w:val="clear"/>
            <w:vAlign w:val="bottom"/>
          </w:tcPr>
          <w:p>
            <w:pPr>
              <w:pStyle w:val="Normal"/>
              <w:widowControl w:val="false"/>
              <w:ind w:firstLine="567"/>
              <w:jc w:val="center"/>
              <w:rPr>
                <w:rFonts w:eastAsia="Calibri"/>
                <w:b/>
                <w:b/>
                <w:bCs/>
              </w:rPr>
            </w:pPr>
            <w:r>
              <w:rPr>
                <w:rFonts w:eastAsia="Calibri"/>
                <w:b/>
                <w:bCs/>
              </w:rPr>
              <w:t>Замовник</w:t>
            </w:r>
          </w:p>
          <w:p>
            <w:pPr>
              <w:pStyle w:val="Normal"/>
              <w:widowControl w:val="false"/>
              <w:jc w:val="left"/>
              <w:rPr>
                <w:rFonts w:eastAsia="Calibri"/>
              </w:rPr>
            </w:pPr>
            <w:r>
              <w:rPr>
                <w:rFonts w:eastAsia="Calibri"/>
              </w:rPr>
              <w:t xml:space="preserve">Комунальне некомерційне підприємство </w:t>
            </w:r>
          </w:p>
          <w:p>
            <w:pPr>
              <w:pStyle w:val="Normal"/>
              <w:widowControl w:val="false"/>
              <w:jc w:val="left"/>
              <w:rPr>
                <w:rFonts w:eastAsia="Calibri"/>
              </w:rPr>
            </w:pPr>
            <w:r>
              <w:rPr>
                <w:rFonts w:eastAsia="Calibri"/>
              </w:rPr>
              <w:t xml:space="preserve">«Центр первинної медико-санітарної </w:t>
            </w:r>
          </w:p>
          <w:p>
            <w:pPr>
              <w:pStyle w:val="Normal"/>
              <w:widowControl w:val="false"/>
              <w:jc w:val="left"/>
              <w:rPr>
                <w:rFonts w:eastAsia="Calibri"/>
              </w:rPr>
            </w:pPr>
            <w:r>
              <w:rPr>
                <w:rFonts w:eastAsia="Calibri"/>
              </w:rPr>
              <w:t>допомоги № 6»</w:t>
            </w:r>
          </w:p>
          <w:p>
            <w:pPr>
              <w:pStyle w:val="Normal"/>
              <w:widowControl w:val="false"/>
              <w:jc w:val="left"/>
              <w:rPr>
                <w:rFonts w:eastAsia="Calibri"/>
              </w:rPr>
            </w:pPr>
            <w:r>
              <w:rPr>
                <w:rFonts w:eastAsia="Calibri"/>
              </w:rPr>
            </w:r>
          </w:p>
          <w:p>
            <w:pPr>
              <w:pStyle w:val="Normal"/>
              <w:widowControl w:val="false"/>
              <w:jc w:val="left"/>
              <w:rPr>
                <w:rFonts w:eastAsia="Calibri"/>
              </w:rPr>
            </w:pPr>
            <w:r>
              <w:rPr>
                <w:rFonts w:eastAsia="Calibri"/>
              </w:rPr>
            </w:r>
          </w:p>
          <w:p>
            <w:pPr>
              <w:pStyle w:val="Normal"/>
              <w:widowControl w:val="false"/>
              <w:jc w:val="left"/>
              <w:rPr>
                <w:rFonts w:eastAsia="Calibri"/>
              </w:rPr>
            </w:pPr>
            <w:r>
              <w:rPr>
                <w:rFonts w:eastAsia="Calibri"/>
              </w:rPr>
            </w:r>
          </w:p>
          <w:p>
            <w:pPr>
              <w:pStyle w:val="Normal"/>
              <w:widowControl w:val="false"/>
              <w:jc w:val="left"/>
              <w:rPr>
                <w:rFonts w:eastAsia="Calibri"/>
                <w:b/>
                <w:b/>
                <w:bCs/>
              </w:rPr>
            </w:pPr>
            <w:r>
              <w:rPr>
                <w:rFonts w:eastAsia="Calibri"/>
                <w:b/>
                <w:bCs/>
              </w:rPr>
            </w:r>
          </w:p>
        </w:tc>
        <w:tc>
          <w:tcPr>
            <w:tcW w:w="4841" w:type="dxa"/>
            <w:tcBorders/>
            <w:shd w:color="auto" w:fill="FFFFFF" w:val="clear"/>
          </w:tcPr>
          <w:p>
            <w:pPr>
              <w:pStyle w:val="Normal"/>
              <w:widowControl w:val="false"/>
              <w:jc w:val="center"/>
              <w:rPr>
                <w:rFonts w:eastAsia="Calibri"/>
                <w:b/>
                <w:b/>
                <w:bCs/>
              </w:rPr>
            </w:pPr>
            <w:r>
              <w:rPr>
                <w:rFonts w:eastAsia="Calibri"/>
                <w:b/>
                <w:bCs/>
              </w:rPr>
              <w:t>Постачальник</w:t>
            </w:r>
          </w:p>
        </w:tc>
      </w:tr>
    </w:tbl>
    <w:p>
      <w:pPr>
        <w:pStyle w:val="Normal"/>
        <w:ind w:hanging="0"/>
        <w:jc w:val="left"/>
        <w:rPr>
          <w:rFonts w:eastAsia="Calibri"/>
        </w:rPr>
      </w:pPr>
      <w:r>
        <w:rPr>
          <w:rFonts w:eastAsia="Calibri"/>
        </w:rPr>
      </w:r>
    </w:p>
    <w:p>
      <w:pPr>
        <w:pStyle w:val="Normal"/>
        <w:ind w:hanging="0"/>
        <w:jc w:val="left"/>
        <w:rPr>
          <w:rFonts w:eastAsia="Calibri"/>
        </w:rPr>
      </w:pPr>
      <w:r>
        <w:rPr>
          <w:rFonts w:eastAsia="Calibri"/>
        </w:rPr>
      </w:r>
    </w:p>
    <w:p>
      <w:pPr>
        <w:pStyle w:val="Normal"/>
        <w:ind w:hanging="0"/>
        <w:jc w:val="left"/>
        <w:rPr>
          <w:rFonts w:eastAsia="Calibri"/>
        </w:rPr>
      </w:pPr>
      <w:r>
        <w:rPr>
          <w:rFonts w:eastAsia="Calibri"/>
        </w:rPr>
      </w:r>
    </w:p>
    <w:p>
      <w:pPr>
        <w:pStyle w:val="Normal"/>
        <w:ind w:hanging="0"/>
        <w:jc w:val="left"/>
        <w:rPr>
          <w:rFonts w:eastAsia="Calibri"/>
        </w:rPr>
      </w:pPr>
      <w:r>
        <w:rPr>
          <w:rFonts w:eastAsia="Calibri"/>
        </w:rPr>
      </w:r>
    </w:p>
    <w:p>
      <w:pPr>
        <w:pStyle w:val="Normal"/>
        <w:ind w:hanging="0"/>
        <w:jc w:val="left"/>
        <w:rPr>
          <w:rFonts w:eastAsia="Calibri"/>
        </w:rPr>
      </w:pPr>
      <w:r>
        <w:rPr>
          <w:rFonts w:eastAsia="Calibri"/>
        </w:rPr>
      </w:r>
    </w:p>
    <w:p>
      <w:pPr>
        <w:pStyle w:val="Normal"/>
        <w:ind w:hanging="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spacing w:lineRule="auto" w:line="276" w:before="0" w:after="200"/>
        <w:jc w:val="left"/>
        <w:rPr>
          <w:rFonts w:eastAsia="Calibri"/>
        </w:rPr>
      </w:pPr>
      <w:r>
        <w:rPr>
          <w:rFonts w:eastAsia="Calibri"/>
        </w:rPr>
      </w:r>
    </w:p>
    <w:p>
      <w:pPr>
        <w:pStyle w:val="Normal"/>
        <w:keepNext w:val="true"/>
        <w:numPr>
          <w:ilvl w:val="0"/>
          <w:numId w:val="0"/>
        </w:numPr>
        <w:shd w:val="clear" w:color="auto" w:fill="FFFFFF"/>
        <w:ind w:left="0" w:hanging="0"/>
        <w:jc w:val="right"/>
        <w:outlineLvl w:val="0"/>
        <w:rPr>
          <w:rFonts w:eastAsia="Times New Roman"/>
          <w:bCs/>
          <w:color w:val="000000"/>
        </w:rPr>
      </w:pPr>
      <w:r>
        <w:rPr>
          <w:rFonts w:eastAsia="Times New Roman"/>
          <w:bCs/>
          <w:color w:val="000000"/>
        </w:rPr>
        <w:t xml:space="preserve">                                             </w:t>
      </w:r>
      <w:r>
        <w:rPr>
          <w:rFonts w:eastAsia="Times New Roman"/>
          <w:bCs/>
          <w:color w:val="000000"/>
        </w:rPr>
        <w:t>Додаток № 1</w:t>
      </w:r>
    </w:p>
    <w:p>
      <w:pPr>
        <w:pStyle w:val="Normal"/>
        <w:jc w:val="right"/>
        <w:rPr>
          <w:rFonts w:eastAsia="Times New Roman"/>
          <w:color w:val="000000"/>
          <w:lang w:eastAsia="ru-RU"/>
        </w:rPr>
      </w:pPr>
      <w:r>
        <w:rPr>
          <w:rFonts w:eastAsia="Times New Roman"/>
          <w:b/>
          <w:color w:val="000000"/>
          <w:lang w:eastAsia="ru-RU"/>
        </w:rPr>
        <w:t xml:space="preserve">                                                                                         </w:t>
      </w:r>
      <w:r>
        <w:rPr>
          <w:rFonts w:eastAsia="Times New Roman"/>
          <w:color w:val="000000"/>
          <w:lang w:eastAsia="ru-RU"/>
        </w:rPr>
        <w:t>до Договору №______</w:t>
      </w:r>
    </w:p>
    <w:p>
      <w:pPr>
        <w:pStyle w:val="Normal"/>
        <w:jc w:val="right"/>
        <w:rPr>
          <w:rFonts w:eastAsia="Times New Roman"/>
          <w:b/>
          <w:b/>
          <w:color w:val="000000"/>
          <w:lang w:eastAsia="ru-RU"/>
        </w:rPr>
      </w:pPr>
      <w:r>
        <w:rPr>
          <w:rFonts w:eastAsia="Times New Roman"/>
          <w:color w:val="000000"/>
          <w:lang w:eastAsia="ru-RU"/>
        </w:rPr>
        <w:t>від «___» _____________ 202__ року</w:t>
      </w:r>
    </w:p>
    <w:p>
      <w:pPr>
        <w:pStyle w:val="Normal"/>
        <w:jc w:val="right"/>
        <w:rPr>
          <w:rFonts w:eastAsia="Times New Roman"/>
          <w:b/>
          <w:b/>
          <w:color w:val="000000"/>
          <w:lang w:eastAsia="ru-RU"/>
        </w:rPr>
      </w:pPr>
      <w:r>
        <w:rPr>
          <w:rFonts w:eastAsia="Times New Roman"/>
          <w:b/>
          <w:color w:val="000000"/>
          <w:lang w:eastAsia="ru-RU"/>
        </w:rPr>
      </w:r>
    </w:p>
    <w:p>
      <w:pPr>
        <w:pStyle w:val="Normal"/>
        <w:jc w:val="center"/>
        <w:rPr>
          <w:b/>
          <w:b/>
          <w:bCs/>
          <w:lang w:eastAsia="ru-RU"/>
        </w:rPr>
      </w:pPr>
      <w:r>
        <w:rPr>
          <w:b/>
          <w:bCs/>
          <w:lang w:eastAsia="ru-RU"/>
        </w:rPr>
        <w:br/>
        <w:t>СПЕЦИФІКАЦІЯ</w:t>
      </w:r>
    </w:p>
    <w:p>
      <w:pPr>
        <w:pStyle w:val="Normal"/>
        <w:jc w:val="left"/>
        <w:rPr/>
      </w:pPr>
      <w:r>
        <w:rPr/>
      </w:r>
    </w:p>
    <w:tbl>
      <w:tblPr>
        <w:tblW w:w="10260" w:type="dxa"/>
        <w:jc w:val="left"/>
        <w:tblInd w:w="-572" w:type="dxa"/>
        <w:tblLayout w:type="fixed"/>
        <w:tblCellMar>
          <w:top w:w="55" w:type="dxa"/>
          <w:left w:w="108" w:type="dxa"/>
          <w:bottom w:w="55" w:type="dxa"/>
          <w:right w:w="108" w:type="dxa"/>
        </w:tblCellMar>
        <w:tblLook w:firstRow="1" w:noVBand="1" w:lastRow="0" w:firstColumn="1" w:lastColumn="0" w:noHBand="0" w:val="04a0"/>
      </w:tblPr>
      <w:tblGrid>
        <w:gridCol w:w="795"/>
        <w:gridCol w:w="2265"/>
        <w:gridCol w:w="1469"/>
        <w:gridCol w:w="1260"/>
        <w:gridCol w:w="901"/>
        <w:gridCol w:w="1141"/>
        <w:gridCol w:w="1305"/>
        <w:gridCol w:w="1122"/>
      </w:tblGrid>
      <w:tr>
        <w:trPr>
          <w:trHeight w:val="900" w:hRule="atLeast"/>
        </w:trPr>
        <w:tc>
          <w:tcPr>
            <w:tcW w:w="795" w:type="dxa"/>
            <w:tcBorders>
              <w:top w:val="single" w:sz="4" w:space="0" w:color="000000"/>
              <w:left w:val="single" w:sz="4" w:space="0" w:color="000000"/>
              <w:bottom w:val="single" w:sz="4" w:space="0" w:color="000000"/>
            </w:tcBorders>
            <w:shd w:color="000000" w:fill="FFFFFF" w:val="clear"/>
            <w:vAlign w:val="center"/>
          </w:tcPr>
          <w:p>
            <w:pPr>
              <w:pStyle w:val="Normal"/>
              <w:widowControl w:val="false"/>
              <w:suppressAutoHyphens w:val="true"/>
              <w:bidi w:val="0"/>
              <w:spacing w:lineRule="auto" w:line="240" w:before="0" w:after="0"/>
              <w:ind w:left="0" w:right="0" w:hanging="0"/>
              <w:jc w:val="center"/>
              <w:rPr/>
            </w:pPr>
            <w:r>
              <w:rPr>
                <w:rFonts w:eastAsia="Times New Roman" w:cs="Times New Roman"/>
                <w:b/>
                <w:bCs/>
                <w:sz w:val="20"/>
                <w:szCs w:val="20"/>
              </w:rPr>
              <w:t xml:space="preserve">№ </w:t>
            </w:r>
            <w:r>
              <w:rPr>
                <w:rFonts w:eastAsia="Times New Roman" w:cs="Times New Roman"/>
                <w:b/>
                <w:bCs/>
                <w:sz w:val="20"/>
                <w:szCs w:val="20"/>
              </w:rPr>
              <w:t>п/п</w:t>
            </w:r>
          </w:p>
        </w:tc>
        <w:tc>
          <w:tcPr>
            <w:tcW w:w="2265" w:type="dxa"/>
            <w:tcBorders>
              <w:top w:val="single" w:sz="4" w:space="0" w:color="000000"/>
              <w:left w:val="single" w:sz="4" w:space="0" w:color="000000"/>
              <w:bottom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b/>
                <w:bCs/>
                <w:sz w:val="20"/>
                <w:szCs w:val="20"/>
              </w:rPr>
              <w:t xml:space="preserve">Найменування товару </w:t>
            </w:r>
          </w:p>
        </w:tc>
        <w:tc>
          <w:tcPr>
            <w:tcW w:w="1469" w:type="dxa"/>
            <w:tcBorders>
              <w:top w:val="single" w:sz="4" w:space="0" w:color="000000"/>
              <w:left w:val="single" w:sz="4" w:space="0" w:color="000000"/>
              <w:bottom w:val="single" w:sz="4" w:space="0" w:color="000000"/>
            </w:tcBorders>
            <w:shd w:color="000000" w:fill="FFFFFF" w:val="clear"/>
            <w:vAlign w:val="center"/>
          </w:tcPr>
          <w:p>
            <w:pPr>
              <w:pStyle w:val="Normal"/>
              <w:widowControl w:val="false"/>
              <w:spacing w:lineRule="auto" w:line="240" w:before="0" w:after="0"/>
              <w:ind w:right="117" w:hanging="0"/>
              <w:jc w:val="center"/>
              <w:rPr>
                <w:rFonts w:ascii="Times New Roman" w:hAnsi="Times New Roman" w:eastAsia="Times New Roman" w:cs="Times New Roman"/>
                <w:b/>
                <w:b/>
                <w:bCs/>
                <w:sz w:val="20"/>
                <w:szCs w:val="20"/>
              </w:rPr>
            </w:pPr>
            <w:r>
              <w:rPr>
                <w:rFonts w:eastAsia="Times New Roman" w:cs="Times New Roman"/>
                <w:b/>
                <w:bCs/>
                <w:sz w:val="20"/>
                <w:szCs w:val="20"/>
              </w:rPr>
              <w:t>МНН</w:t>
            </w:r>
          </w:p>
        </w:tc>
        <w:tc>
          <w:tcPr>
            <w:tcW w:w="1260" w:type="dxa"/>
            <w:tcBorders>
              <w:top w:val="single" w:sz="4" w:space="0" w:color="000000"/>
              <w:left w:val="single" w:sz="4" w:space="0" w:color="000000"/>
              <w:bottom w:val="single" w:sz="4" w:space="0" w:color="000000"/>
            </w:tcBorders>
            <w:shd w:color="000000" w:fill="FFFFFF" w:val="clear"/>
            <w:vAlign w:val="center"/>
          </w:tcPr>
          <w:p>
            <w:pPr>
              <w:pStyle w:val="Normal"/>
              <w:widowControl w:val="false"/>
              <w:spacing w:lineRule="auto" w:line="240" w:before="0" w:after="0"/>
              <w:ind w:right="117" w:hanging="0"/>
              <w:jc w:val="center"/>
              <w:rPr>
                <w:rFonts w:ascii="Times New Roman" w:hAnsi="Times New Roman" w:eastAsia="Times New Roman" w:cs="Times New Roman"/>
                <w:b/>
                <w:b/>
                <w:bCs/>
                <w:sz w:val="20"/>
                <w:szCs w:val="20"/>
              </w:rPr>
            </w:pPr>
            <w:r>
              <w:rPr>
                <w:rFonts w:eastAsia="Times New Roman" w:cs="Times New Roman"/>
                <w:b/>
                <w:bCs/>
                <w:sz w:val="20"/>
                <w:szCs w:val="20"/>
              </w:rPr>
              <w:t>Країна виробник</w:t>
            </w:r>
          </w:p>
        </w:tc>
        <w:tc>
          <w:tcPr>
            <w:tcW w:w="901" w:type="dxa"/>
            <w:tcBorders>
              <w:top w:val="single" w:sz="4" w:space="0" w:color="000000"/>
              <w:left w:val="single" w:sz="4" w:space="0" w:color="000000"/>
              <w:bottom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b/>
                <w:bCs/>
                <w:sz w:val="20"/>
                <w:szCs w:val="20"/>
              </w:rPr>
              <w:t>Од. виміру</w:t>
            </w:r>
          </w:p>
        </w:tc>
        <w:tc>
          <w:tcPr>
            <w:tcW w:w="1141" w:type="dxa"/>
            <w:tcBorders>
              <w:top w:val="single" w:sz="4" w:space="0" w:color="000000"/>
              <w:left w:val="single" w:sz="4" w:space="0" w:color="000000"/>
              <w:bottom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b/>
                <w:bCs/>
                <w:sz w:val="20"/>
                <w:szCs w:val="20"/>
              </w:rPr>
              <w:t>Кількість</w:t>
            </w:r>
          </w:p>
        </w:tc>
        <w:tc>
          <w:tcPr>
            <w:tcW w:w="1305" w:type="dxa"/>
            <w:tcBorders>
              <w:top w:val="single" w:sz="4" w:space="0" w:color="000000"/>
              <w:left w:val="single" w:sz="4" w:space="0" w:color="000000"/>
              <w:bottom w:val="single" w:sz="4" w:space="0" w:color="000000"/>
            </w:tcBorders>
            <w:shd w:color="000000" w:fill="FFFFFF"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b/>
                <w:bCs/>
                <w:sz w:val="20"/>
                <w:szCs w:val="20"/>
              </w:rPr>
              <w:t>Ціна за од. (без ПДВ), грн.</w:t>
            </w:r>
          </w:p>
        </w:tc>
        <w:tc>
          <w:tcPr>
            <w:tcW w:w="112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Arial" w:hAnsi="Arial" w:eastAsia="Times New Roman" w:cs="Arial"/>
                <w:b/>
                <w:b/>
                <w:bCs/>
                <w:sz w:val="20"/>
                <w:szCs w:val="20"/>
              </w:rPr>
            </w:pPr>
            <w:r>
              <w:rPr>
                <w:rFonts w:eastAsia="Times New Roman" w:cs="Times New Roman"/>
                <w:b/>
                <w:bCs/>
                <w:sz w:val="20"/>
                <w:szCs w:val="20"/>
              </w:rPr>
              <w:t>Сума грн.(з ПДВ</w:t>
            </w:r>
            <w:r>
              <w:rPr>
                <w:rFonts w:eastAsia="Times New Roman" w:cs="Arial" w:ascii="Arial" w:hAnsi="Arial"/>
                <w:b/>
                <w:bCs/>
                <w:sz w:val="20"/>
                <w:szCs w:val="20"/>
              </w:rPr>
              <w:t>)</w:t>
            </w:r>
          </w:p>
        </w:tc>
      </w:tr>
      <w:tr>
        <w:trPr>
          <w:trHeight w:val="690" w:hRule="atLeast"/>
        </w:trPr>
        <w:tc>
          <w:tcPr>
            <w:tcW w:w="795" w:type="dxa"/>
            <w:tcBorders>
              <w:left w:val="single" w:sz="4" w:space="0" w:color="000000"/>
              <w:bottom w:val="single" w:sz="4" w:space="0" w:color="000000"/>
            </w:tcBorders>
            <w:shd w:color="auto" w:fill="auto" w:val="clear"/>
            <w:vAlign w:val="bottom"/>
          </w:tcPr>
          <w:p>
            <w:pPr>
              <w:pStyle w:val="Normal"/>
              <w:widowControl w:val="false"/>
              <w:suppressAutoHyphens w:val="true"/>
              <w:bidi w:val="0"/>
              <w:spacing w:lineRule="auto" w:line="240" w:before="0" w:after="0"/>
              <w:ind w:left="0" w:right="0" w:hanging="0"/>
              <w:jc w:val="right"/>
              <w:rPr/>
            </w:pPr>
            <w:r>
              <w:rPr>
                <w:rFonts w:eastAsia="Times New Roman" w:cs="Times New Roman"/>
                <w:sz w:val="20"/>
                <w:szCs w:val="20"/>
              </w:rPr>
              <w:t>1</w:t>
            </w:r>
          </w:p>
        </w:tc>
        <w:tc>
          <w:tcPr>
            <w:tcW w:w="2265"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sz w:val="20"/>
                <w:szCs w:val="20"/>
              </w:rPr>
            </w:r>
          </w:p>
        </w:tc>
        <w:tc>
          <w:tcPr>
            <w:tcW w:w="1469"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sz w:val="20"/>
                <w:szCs w:val="20"/>
              </w:rPr>
            </w:r>
          </w:p>
        </w:tc>
        <w:tc>
          <w:tcPr>
            <w:tcW w:w="1260"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sz w:val="20"/>
                <w:szCs w:val="20"/>
              </w:rPr>
            </w:r>
          </w:p>
        </w:tc>
        <w:tc>
          <w:tcPr>
            <w:tcW w:w="901"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sz w:val="20"/>
                <w:szCs w:val="20"/>
              </w:rPr>
            </w:r>
          </w:p>
        </w:tc>
        <w:tc>
          <w:tcPr>
            <w:tcW w:w="1141"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sz w:val="20"/>
                <w:szCs w:val="20"/>
              </w:rPr>
            </w:r>
          </w:p>
        </w:tc>
        <w:tc>
          <w:tcPr>
            <w:tcW w:w="1305"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sz w:val="20"/>
                <w:szCs w:val="20"/>
              </w:rPr>
            </w:pPr>
            <w:r>
              <w:rPr>
                <w:rFonts w:eastAsia="Times New Roman" w:cs="Times New Roman"/>
                <w:sz w:val="20"/>
                <w:szCs w:val="20"/>
              </w:rPr>
            </w:r>
          </w:p>
        </w:tc>
        <w:tc>
          <w:tcPr>
            <w:tcW w:w="112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Arial" w:hAnsi="Arial" w:eastAsia="Times New Roman" w:cs="Arial"/>
                <w:sz w:val="16"/>
                <w:szCs w:val="16"/>
              </w:rPr>
            </w:pPr>
            <w:r>
              <w:rPr>
                <w:rFonts w:eastAsia="Times New Roman" w:cs="Arial" w:ascii="Arial" w:hAnsi="Arial"/>
                <w:sz w:val="16"/>
                <w:szCs w:val="16"/>
              </w:rPr>
              <w:t> </w:t>
            </w:r>
          </w:p>
        </w:tc>
      </w:tr>
      <w:tr>
        <w:trPr>
          <w:trHeight w:val="465" w:hRule="atLeast"/>
        </w:trPr>
        <w:tc>
          <w:tcPr>
            <w:tcW w:w="9136" w:type="dxa"/>
            <w:gridSpan w:val="7"/>
            <w:tcBorders>
              <w:left w:val="single" w:sz="4" w:space="0" w:color="000000"/>
              <w:bottom w:val="single" w:sz="4" w:space="0" w:color="000000"/>
            </w:tcBorders>
            <w:shd w:color="auto" w:fill="auto" w:val="clear"/>
            <w:vAlign w:val="bottom"/>
          </w:tcPr>
          <w:p>
            <w:pPr>
              <w:pStyle w:val="Normal"/>
              <w:widowControl w:val="false"/>
              <w:shd w:val="clear" w:color="auto" w:fill="FFFFFF"/>
              <w:suppressAutoHyphens w:val="true"/>
              <w:snapToGrid w:val="false"/>
              <w:jc w:val="right"/>
              <w:rPr>
                <w:rFonts w:ascii="Times New Roman" w:hAnsi="Times New Roman" w:eastAsia="Times New Roman"/>
                <w:b/>
                <w:b/>
                <w:lang w:eastAsia="ar-SA"/>
              </w:rPr>
            </w:pPr>
            <w:r>
              <w:rPr>
                <w:rFonts w:eastAsia="Times New Roman"/>
                <w:b/>
                <w:lang w:eastAsia="ar-SA"/>
              </w:rPr>
              <w:t>Загальна вартість без ПДВ, грн</w:t>
            </w:r>
          </w:p>
        </w:tc>
        <w:tc>
          <w:tcPr>
            <w:tcW w:w="112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Arial" w:hAnsi="Arial" w:eastAsia="Times New Roman" w:cs="Arial"/>
                <w:sz w:val="16"/>
                <w:szCs w:val="16"/>
              </w:rPr>
            </w:pPr>
            <w:r>
              <w:rPr>
                <w:rFonts w:eastAsia="Times New Roman" w:cs="Arial" w:ascii="Arial" w:hAnsi="Arial"/>
                <w:sz w:val="16"/>
                <w:szCs w:val="16"/>
              </w:rPr>
            </w:r>
          </w:p>
        </w:tc>
      </w:tr>
      <w:tr>
        <w:trPr>
          <w:trHeight w:val="465" w:hRule="atLeast"/>
        </w:trPr>
        <w:tc>
          <w:tcPr>
            <w:tcW w:w="9136" w:type="dxa"/>
            <w:gridSpan w:val="7"/>
            <w:tcBorders>
              <w:left w:val="single" w:sz="4" w:space="0" w:color="000000"/>
              <w:bottom w:val="single" w:sz="4" w:space="0" w:color="000000"/>
            </w:tcBorders>
            <w:shd w:color="auto" w:fill="auto" w:val="clear"/>
            <w:vAlign w:val="bottom"/>
          </w:tcPr>
          <w:p>
            <w:pPr>
              <w:pStyle w:val="Normal"/>
              <w:widowControl w:val="false"/>
              <w:shd w:val="clear" w:color="auto" w:fill="FFFFFF"/>
              <w:suppressAutoHyphens w:val="true"/>
              <w:snapToGrid w:val="false"/>
              <w:jc w:val="right"/>
              <w:rPr>
                <w:rFonts w:ascii="Times New Roman" w:hAnsi="Times New Roman" w:eastAsia="Times New Roman"/>
                <w:b/>
                <w:b/>
                <w:lang w:eastAsia="ar-SA"/>
              </w:rPr>
            </w:pPr>
            <w:r>
              <w:rPr>
                <w:rFonts w:eastAsia="Times New Roman"/>
                <w:b/>
                <w:lang w:eastAsia="ar-SA"/>
              </w:rPr>
              <w:t>Сума ПДВ, грн</w:t>
            </w:r>
          </w:p>
        </w:tc>
        <w:tc>
          <w:tcPr>
            <w:tcW w:w="112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Arial" w:hAnsi="Arial" w:eastAsia="Times New Roman" w:cs="Arial"/>
                <w:sz w:val="16"/>
                <w:szCs w:val="16"/>
              </w:rPr>
            </w:pPr>
            <w:r>
              <w:rPr>
                <w:rFonts w:eastAsia="Times New Roman" w:cs="Arial" w:ascii="Arial" w:hAnsi="Arial"/>
                <w:sz w:val="16"/>
                <w:szCs w:val="16"/>
              </w:rPr>
            </w:r>
          </w:p>
        </w:tc>
      </w:tr>
      <w:tr>
        <w:trPr>
          <w:trHeight w:val="465" w:hRule="atLeast"/>
        </w:trPr>
        <w:tc>
          <w:tcPr>
            <w:tcW w:w="9136" w:type="dxa"/>
            <w:gridSpan w:val="7"/>
            <w:tcBorders>
              <w:left w:val="single" w:sz="4" w:space="0" w:color="000000"/>
              <w:bottom w:val="single" w:sz="4" w:space="0" w:color="000000"/>
            </w:tcBorders>
            <w:shd w:color="auto" w:fill="auto" w:val="clear"/>
            <w:vAlign w:val="bottom"/>
          </w:tcPr>
          <w:p>
            <w:pPr>
              <w:pStyle w:val="Normal"/>
              <w:widowControl w:val="false"/>
              <w:shd w:val="clear" w:color="auto" w:fill="FFFFFF"/>
              <w:suppressAutoHyphens w:val="true"/>
              <w:snapToGrid w:val="false"/>
              <w:jc w:val="right"/>
              <w:rPr>
                <w:rFonts w:ascii="Times New Roman" w:hAnsi="Times New Roman" w:eastAsia="Times New Roman"/>
                <w:b/>
                <w:b/>
                <w:lang w:eastAsia="ar-SA"/>
              </w:rPr>
            </w:pPr>
            <w:r>
              <w:rPr>
                <w:rFonts w:eastAsia="Times New Roman"/>
                <w:b/>
                <w:lang w:eastAsia="ar-SA"/>
              </w:rPr>
              <w:t>Загальна вартість з ПДВ, грн</w:t>
            </w:r>
          </w:p>
        </w:tc>
        <w:tc>
          <w:tcPr>
            <w:tcW w:w="112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Arial" w:hAnsi="Arial" w:eastAsia="Times New Roman" w:cs="Arial"/>
                <w:sz w:val="16"/>
                <w:szCs w:val="16"/>
              </w:rPr>
            </w:pPr>
            <w:r>
              <w:rPr>
                <w:rFonts w:eastAsia="Times New Roman" w:cs="Arial" w:ascii="Arial" w:hAnsi="Arial"/>
                <w:sz w:val="16"/>
                <w:szCs w:val="16"/>
              </w:rPr>
            </w:r>
          </w:p>
        </w:tc>
      </w:tr>
    </w:tbl>
    <w:p>
      <w:pPr>
        <w:pStyle w:val="Normal"/>
        <w:jc w:val="center"/>
        <w:rPr>
          <w:b/>
          <w:b/>
          <w:bCs/>
          <w:lang w:eastAsia="ru-RU"/>
        </w:rPr>
      </w:pPr>
      <w:r>
        <w:rPr>
          <w:b/>
          <w:bCs/>
          <w:lang w:eastAsia="ru-RU"/>
        </w:rPr>
      </w:r>
    </w:p>
    <w:p>
      <w:pPr>
        <w:pStyle w:val="Normal"/>
        <w:tabs>
          <w:tab w:val="clear" w:pos="708"/>
          <w:tab w:val="left" w:pos="4962" w:leader="none"/>
        </w:tabs>
        <w:spacing w:lineRule="auto" w:line="240" w:before="0" w:after="0"/>
        <w:ind w:left="142" w:firstLine="284"/>
        <w:rPr>
          <w:rFonts w:ascii="Times New Roman" w:hAnsi="Times New Roman"/>
          <w:sz w:val="22"/>
          <w:szCs w:val="22"/>
        </w:rPr>
      </w:pPr>
      <w:r>
        <w:rPr>
          <w:rFonts w:eastAsia="Times New Roman" w:cs="Times New Roman"/>
          <w:b w:val="false"/>
          <w:i w:val="false"/>
          <w:caps w:val="false"/>
          <w:smallCaps w:val="false"/>
          <w:color w:val="000000"/>
          <w:spacing w:val="0"/>
          <w:sz w:val="22"/>
          <w:szCs w:val="22"/>
        </w:rPr>
        <w:t>*Товар з ПДВ</w:t>
      </w:r>
      <w:r>
        <w:rPr>
          <w:rFonts w:eastAsia="Times New Roman" w:cs="Times New Roman"/>
          <w:sz w:val="22"/>
          <w:szCs w:val="22"/>
        </w:rPr>
        <w:t xml:space="preserve"> </w:t>
      </w:r>
    </w:p>
    <w:p>
      <w:pPr>
        <w:pStyle w:val="Normal"/>
        <w:tabs>
          <w:tab w:val="clear" w:pos="708"/>
          <w:tab w:val="left" w:pos="4962" w:leader="none"/>
        </w:tabs>
        <w:spacing w:lineRule="auto" w:line="240" w:before="0" w:after="0"/>
        <w:ind w:left="142" w:firstLine="284"/>
        <w:rPr>
          <w:rFonts w:ascii="Times New Roman" w:hAnsi="Times New Roman"/>
          <w:sz w:val="22"/>
          <w:szCs w:val="22"/>
        </w:rPr>
      </w:pPr>
      <w:r>
        <w:rPr>
          <w:rFonts w:eastAsia="Times New Roman" w:cs="Times New Roman"/>
          <w:sz w:val="22"/>
          <w:szCs w:val="22"/>
        </w:rPr>
        <w:t>Загальна вартість ______________________ з ПДВ або без ПДВ (вказати суму), з них ПДВ______________грн (/або без ПДВ) (вказати суму і відсоток).</w:t>
      </w:r>
    </w:p>
    <w:p>
      <w:pPr>
        <w:pStyle w:val="Normal"/>
        <w:spacing w:lineRule="auto" w:line="240" w:before="0" w:after="0"/>
        <w:jc w:val="center"/>
        <w:rPr>
          <w:b/>
          <w:b/>
          <w:bCs/>
          <w:lang w:eastAsia="ru-RU"/>
        </w:rPr>
      </w:pPr>
      <w:r>
        <w:rPr>
          <w:b/>
          <w:bCs/>
          <w:lang w:eastAsia="ru-RU"/>
        </w:rPr>
      </w:r>
    </w:p>
    <w:p>
      <w:pPr>
        <w:pStyle w:val="Normal"/>
        <w:jc w:val="center"/>
        <w:rPr>
          <w:b/>
          <w:b/>
          <w:bCs/>
          <w:lang w:eastAsia="ru-RU"/>
        </w:rPr>
      </w:pPr>
      <w:r>
        <w:rPr>
          <w:b/>
          <w:bCs/>
          <w:lang w:eastAsia="ru-RU"/>
        </w:rPr>
      </w:r>
    </w:p>
    <w:p>
      <w:pPr>
        <w:pStyle w:val="Normal"/>
        <w:jc w:val="center"/>
        <w:rPr>
          <w:b/>
          <w:b/>
          <w:bCs/>
          <w:lang w:eastAsia="ru-RU"/>
        </w:rPr>
      </w:pPr>
      <w:r>
        <w:rPr>
          <w:b/>
          <w:bCs/>
          <w:lang w:eastAsia="ru-RU"/>
        </w:rPr>
      </w:r>
    </w:p>
    <w:p>
      <w:pPr>
        <w:pStyle w:val="Normal"/>
        <w:ind w:hanging="0"/>
        <w:jc w:val="left"/>
        <w:rPr>
          <w:rFonts w:eastAsia="Calibri"/>
        </w:rPr>
      </w:pPr>
      <w:r>
        <w:rPr>
          <w:rFonts w:eastAsia="Calibri"/>
        </w:rPr>
      </w:r>
    </w:p>
    <w:p>
      <w:pPr>
        <w:pStyle w:val="Normal"/>
        <w:spacing w:lineRule="auto" w:line="276"/>
        <w:jc w:val="left"/>
        <w:rPr>
          <w:rFonts w:eastAsia="Calibri"/>
        </w:rPr>
      </w:pPr>
      <w:r>
        <w:rPr>
          <w:rFonts w:eastAsia="Calibri"/>
        </w:rPr>
      </w:r>
    </w:p>
    <w:p>
      <w:pPr>
        <w:pStyle w:val="Normal"/>
        <w:spacing w:lineRule="auto" w:line="276"/>
        <w:jc w:val="left"/>
        <w:rPr>
          <w:rFonts w:eastAsia="Calibri"/>
        </w:rPr>
      </w:pPr>
      <w:r>
        <w:rPr>
          <w:rFonts w:eastAsia="Calibri"/>
        </w:rPr>
      </w:r>
    </w:p>
    <w:tbl>
      <w:tblPr>
        <w:tblW w:w="9662" w:type="dxa"/>
        <w:jc w:val="left"/>
        <w:tblInd w:w="28" w:type="dxa"/>
        <w:tblLayout w:type="fixed"/>
        <w:tblCellMar>
          <w:top w:w="0" w:type="dxa"/>
          <w:left w:w="28" w:type="dxa"/>
          <w:bottom w:w="0" w:type="dxa"/>
          <w:right w:w="28" w:type="dxa"/>
        </w:tblCellMar>
        <w:tblLook w:firstRow="1" w:noVBand="1" w:lastRow="0" w:firstColumn="1" w:lastColumn="0" w:noHBand="0" w:val="04a0"/>
      </w:tblPr>
      <w:tblGrid>
        <w:gridCol w:w="4225"/>
        <w:gridCol w:w="5436"/>
      </w:tblGrid>
      <w:tr>
        <w:trPr>
          <w:trHeight w:val="293" w:hRule="atLeast"/>
        </w:trPr>
        <w:tc>
          <w:tcPr>
            <w:tcW w:w="4225" w:type="dxa"/>
            <w:tcBorders/>
            <w:shd w:color="auto" w:fill="FFFFFF" w:val="clear"/>
            <w:vAlign w:val="bottom"/>
          </w:tcPr>
          <w:p>
            <w:pPr>
              <w:pStyle w:val="Normal"/>
              <w:widowControl w:val="false"/>
              <w:ind w:firstLine="567"/>
              <w:jc w:val="center"/>
              <w:rPr>
                <w:rFonts w:eastAsia="Calibri"/>
                <w:b/>
                <w:b/>
                <w:bCs/>
              </w:rPr>
            </w:pPr>
            <w:r>
              <w:rPr>
                <w:rFonts w:eastAsia="Calibri"/>
                <w:b/>
                <w:bCs/>
              </w:rPr>
              <w:t>Замовник</w:t>
            </w:r>
          </w:p>
          <w:p>
            <w:pPr>
              <w:pStyle w:val="Normal"/>
              <w:widowControl w:val="false"/>
              <w:jc w:val="left"/>
              <w:rPr>
                <w:rFonts w:eastAsia="Calibri"/>
              </w:rPr>
            </w:pPr>
            <w:r>
              <w:rPr>
                <w:rFonts w:eastAsia="Calibri"/>
              </w:rPr>
              <w:t xml:space="preserve">Комунальне некомерційне підприємство </w:t>
            </w:r>
          </w:p>
          <w:p>
            <w:pPr>
              <w:pStyle w:val="Normal"/>
              <w:widowControl w:val="false"/>
              <w:jc w:val="left"/>
              <w:rPr>
                <w:rFonts w:eastAsia="Calibri"/>
              </w:rPr>
            </w:pPr>
            <w:r>
              <w:rPr>
                <w:rFonts w:eastAsia="Calibri"/>
              </w:rPr>
              <w:t>«Центр первинної медико-санітарної допомоги № 6»</w:t>
            </w:r>
          </w:p>
          <w:p>
            <w:pPr>
              <w:pStyle w:val="Normal"/>
              <w:widowControl w:val="false"/>
              <w:jc w:val="left"/>
              <w:rPr>
                <w:rFonts w:eastAsia="Calibri"/>
              </w:rPr>
            </w:pPr>
            <w:r>
              <w:rPr>
                <w:rFonts w:eastAsia="Calibri"/>
              </w:rPr>
            </w:r>
          </w:p>
          <w:p>
            <w:pPr>
              <w:pStyle w:val="Normal"/>
              <w:widowControl w:val="false"/>
              <w:jc w:val="left"/>
              <w:rPr>
                <w:rFonts w:eastAsia="Calibri"/>
              </w:rPr>
            </w:pPr>
            <w:r>
              <w:rPr>
                <w:rFonts w:eastAsia="Calibri"/>
              </w:rPr>
            </w:r>
          </w:p>
          <w:p>
            <w:pPr>
              <w:pStyle w:val="Normal"/>
              <w:widowControl w:val="false"/>
              <w:jc w:val="left"/>
              <w:rPr>
                <w:rFonts w:eastAsia="Calibri"/>
              </w:rPr>
            </w:pPr>
            <w:r>
              <w:rPr>
                <w:rFonts w:eastAsia="Calibri"/>
              </w:rPr>
            </w:r>
          </w:p>
          <w:p>
            <w:pPr>
              <w:pStyle w:val="Normal"/>
              <w:widowControl w:val="false"/>
              <w:jc w:val="left"/>
              <w:rPr>
                <w:rFonts w:eastAsia="Calibri"/>
                <w:b/>
                <w:b/>
                <w:bCs/>
              </w:rPr>
            </w:pPr>
            <w:r>
              <w:rPr>
                <w:rFonts w:eastAsia="Calibri"/>
                <w:b/>
                <w:bCs/>
              </w:rPr>
            </w:r>
          </w:p>
        </w:tc>
        <w:tc>
          <w:tcPr>
            <w:tcW w:w="5436" w:type="dxa"/>
            <w:tcBorders/>
            <w:shd w:color="auto" w:fill="FFFFFF" w:val="clear"/>
          </w:tcPr>
          <w:p>
            <w:pPr>
              <w:pStyle w:val="Normal"/>
              <w:widowControl w:val="false"/>
              <w:jc w:val="center"/>
              <w:rPr>
                <w:rFonts w:eastAsia="Calibri"/>
                <w:b/>
                <w:b/>
                <w:bCs/>
              </w:rPr>
            </w:pPr>
            <w:bookmarkStart w:id="3" w:name="_Hlk112316267"/>
            <w:r>
              <w:rPr>
                <w:rFonts w:eastAsia="Calibri"/>
                <w:b/>
                <w:bCs/>
              </w:rPr>
              <w:t>Постачальник</w:t>
            </w:r>
            <w:bookmarkEnd w:id="3"/>
          </w:p>
        </w:tc>
      </w:tr>
    </w:tbl>
    <w:p>
      <w:pPr>
        <w:pStyle w:val="Normal"/>
        <w:spacing w:lineRule="auto" w:line="276"/>
        <w:jc w:val="left"/>
        <w:rPr>
          <w:rFonts w:eastAsia="Calibri"/>
        </w:rPr>
      </w:pPr>
      <w:r>
        <w:rPr>
          <w:rFonts w:eastAsia="Calibri"/>
        </w:rPr>
      </w:r>
    </w:p>
    <w:p>
      <w:pPr>
        <w:pStyle w:val="Normal"/>
        <w:spacing w:lineRule="auto" w:line="276"/>
        <w:jc w:val="left"/>
        <w:rPr>
          <w:rFonts w:eastAsia="Calibri"/>
        </w:rPr>
      </w:pPr>
      <w:r>
        <w:rPr>
          <w:rFonts w:eastAsia="Calibri"/>
        </w:rPr>
      </w:r>
    </w:p>
    <w:p>
      <w:pPr>
        <w:pStyle w:val="Normal"/>
        <w:spacing w:lineRule="auto" w:line="276"/>
        <w:jc w:val="left"/>
        <w:rPr>
          <w:rFonts w:eastAsia="Calibri"/>
        </w:rPr>
      </w:pPr>
      <w:r>
        <w:rPr>
          <w:rFonts w:eastAsia="Calibri"/>
        </w:rPr>
      </w:r>
    </w:p>
    <w:p>
      <w:pPr>
        <w:pStyle w:val="Normal"/>
        <w:rPr/>
      </w:pPr>
      <w:r>
        <w:rPr/>
      </w:r>
    </w:p>
    <w:sectPr>
      <w:headerReference w:type="default" r:id="rId2"/>
      <w:type w:val="nextPage"/>
      <w:pgSz w:w="11906" w:h="16838"/>
      <w:pgMar w:left="1134" w:right="850" w:gutter="0" w:header="850" w:top="1276" w:footer="0" w:bottom="85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627624102"/>
    </w:sdtPr>
    <w:sdtContent>
      <w:p>
        <w:pPr>
          <w:pStyle w:val="Style22"/>
          <w:rPr/>
        </w:pPr>
        <w:r>
          <w:rPr/>
          <w:fldChar w:fldCharType="begin"/>
        </w:r>
        <w:r>
          <w:rPr/>
          <w:instrText xml:space="preserve"> PAGE </w:instrText>
        </w:r>
        <w:r>
          <w:rPr/>
          <w:fldChar w:fldCharType="separate"/>
        </w:r>
        <w:r>
          <w:rPr/>
          <w:t>7</w:t>
        </w:r>
        <w:r>
          <w:rPr/>
          <w:fldChar w:fldCharType="end"/>
        </w:r>
      </w:p>
    </w:sdtContent>
  </w:sdt>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2"/>
        <w:szCs w:val="22"/>
        <w:lang w:val="ru-RU"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spacing w:before="0" w:after="0"/>
      <w:jc w:val="both"/>
    </w:pPr>
    <w:rPr>
      <w:rFonts w:ascii="Times New Roman" w:hAnsi="Times New Roman" w:eastAsia="Calibri" w:cs="Times New Roman" w:eastAsiaTheme="minorHAnsi"/>
      <w:color w:val="auto"/>
      <w:kern w:val="0"/>
      <w:sz w:val="22"/>
      <w:szCs w:val="22"/>
      <w:lang w:val="uk-UA" w:eastAsia="en-US" w:bidi="ar-SA"/>
    </w:rPr>
  </w:style>
  <w:style w:type="paragraph" w:styleId="1">
    <w:name w:val="Heading 1"/>
    <w:basedOn w:val="Normal"/>
    <w:next w:val="Normal"/>
    <w:link w:val="11"/>
    <w:uiPriority w:val="9"/>
    <w:qFormat/>
    <w:rsid w:val="0040169a"/>
    <w:pPr>
      <w:keepNext w:val="true"/>
      <w:keepLines/>
      <w:jc w:val="center"/>
      <w:outlineLvl w:val="0"/>
    </w:pPr>
    <w:rPr>
      <w:rFonts w:eastAsia="" w:cs="" w:cstheme="majorBidi" w:eastAsiaTheme="majorEastAsia"/>
      <w:b/>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40169a"/>
    <w:rPr>
      <w:rFonts w:eastAsia="" w:cs="" w:cstheme="majorBidi" w:eastAsiaTheme="majorEastAsia"/>
      <w:b/>
      <w:szCs w:val="32"/>
      <w:lang w:val="uk-UA"/>
    </w:rPr>
  </w:style>
  <w:style w:type="character" w:styleId="Style13" w:customStyle="1">
    <w:name w:val="Верхний колонтитул Знак"/>
    <w:basedOn w:val="DefaultParagraphFont"/>
    <w:uiPriority w:val="99"/>
    <w:qFormat/>
    <w:rsid w:val="0077562b"/>
    <w:rPr>
      <w:rFonts w:ascii="Calibri" w:hAnsi="Calibri" w:eastAsia="Calibri"/>
    </w:rPr>
  </w:style>
  <w:style w:type="character" w:styleId="Style14" w:customStyle="1">
    <w:name w:val="Текст выноски Знак"/>
    <w:basedOn w:val="DefaultParagraphFont"/>
    <w:link w:val="BalloonText"/>
    <w:uiPriority w:val="99"/>
    <w:semiHidden/>
    <w:qFormat/>
    <w:rsid w:val="00b21189"/>
    <w:rPr>
      <w:rFonts w:ascii="Arial" w:hAnsi="Arial" w:cs="Arial"/>
      <w:sz w:val="18"/>
      <w:szCs w:val="18"/>
      <w:lang w:val="uk-UA"/>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Покажчик"/>
    <w:basedOn w:val="Normal"/>
    <w:qFormat/>
    <w:pPr>
      <w:suppressLineNumbers/>
    </w:pPr>
    <w:rPr>
      <w:rFonts w:cs="Arial"/>
    </w:rPr>
  </w:style>
  <w:style w:type="paragraph" w:styleId="Style20">
    <w:name w:val="Title"/>
    <w:basedOn w:val="Normal"/>
    <w:next w:val="Style16"/>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Style21" w:customStyle="1">
    <w:name w:val="Верхній і нижній колонтитули"/>
    <w:basedOn w:val="Normal"/>
    <w:qFormat/>
    <w:pPr/>
    <w:rPr/>
  </w:style>
  <w:style w:type="paragraph" w:styleId="Style22">
    <w:name w:val="Header"/>
    <w:basedOn w:val="Normal"/>
    <w:link w:val="Style13"/>
    <w:uiPriority w:val="99"/>
    <w:unhideWhenUsed/>
    <w:rsid w:val="0077562b"/>
    <w:pPr>
      <w:tabs>
        <w:tab w:val="clear" w:pos="708"/>
        <w:tab w:val="center" w:pos="4677" w:leader="none"/>
        <w:tab w:val="right" w:pos="9355" w:leader="none"/>
      </w:tabs>
      <w:jc w:val="left"/>
    </w:pPr>
    <w:rPr>
      <w:rFonts w:ascii="Calibri" w:hAnsi="Calibri" w:eastAsia="Calibri"/>
      <w:lang w:val="ru-RU"/>
    </w:rPr>
  </w:style>
  <w:style w:type="paragraph" w:styleId="BalloonText">
    <w:name w:val="Balloon Text"/>
    <w:basedOn w:val="Normal"/>
    <w:link w:val="Style14"/>
    <w:uiPriority w:val="99"/>
    <w:semiHidden/>
    <w:unhideWhenUsed/>
    <w:qFormat/>
    <w:rsid w:val="00b21189"/>
    <w:pPr/>
    <w:rPr>
      <w:rFonts w:ascii="Arial" w:hAnsi="Arial" w:cs="Arial"/>
      <w:sz w:val="18"/>
      <w:szCs w:val="18"/>
    </w:rPr>
  </w:style>
  <w:style w:type="paragraph" w:styleId="Style23">
    <w:name w:val="Вміст таблиці"/>
    <w:basedOn w:val="Normal"/>
    <w:qFormat/>
    <w:pPr>
      <w:widowControl w:val="false"/>
      <w:suppressLineNumbers/>
    </w:pPr>
    <w:rPr/>
  </w:style>
  <w:style w:type="paragraph" w:styleId="Style24">
    <w:name w:val="Заголовок таблиці"/>
    <w:basedOn w:val="Style23"/>
    <w:qFormat/>
    <w:pPr>
      <w:suppressLineNumbers/>
      <w:jc w:val="center"/>
    </w:pPr>
    <w:rPr>
      <w:b/>
      <w:bCs/>
    </w:rPr>
  </w:style>
  <w:style w:type="paragraph" w:styleId="TableParagraph">
    <w:name w:val="Table Paragraph"/>
    <w:basedOn w:val="Normal"/>
    <w:qFormat/>
    <w:pPr>
      <w:widowControl w:val="false"/>
      <w:spacing w:before="0" w:after="0"/>
      <w:ind w:left="64" w:hanging="0"/>
    </w:pPr>
    <w:rPr>
      <w:rFonts w:eastAsia="Times New Roman" w:cs="Times New Roman"/>
      <w:sz w:val="22"/>
      <w:lang w:val="uk-U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Application>LibreOffice/7.3.6.2$Windows_X86_64 LibreOffice_project/c28ca90fd6e1a19e189fc16c05f8f8924961e12e</Application>
  <AppVersion>15.0000</AppVersion>
  <Pages>7</Pages>
  <Words>3094</Words>
  <Characters>20254</Characters>
  <CharactersWithSpaces>23494</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2024-02-05T12:16:00Z</dcterms:created>
  <dc:creator>Татьяна Руденко</dc:creator>
  <dc:description/>
  <dc:language>uk-UA</dc:language>
  <cp:lastModifiedBy/>
  <cp:lastPrinted>2024-02-05T10:02:00Z</cp:lastPrinted>
  <dcterms:modified xsi:type="dcterms:W3CDTF">2024-03-20T13:24:36Z</dcterms:modified>
  <cp:revision>94</cp:revision>
  <dc:subject/>
  <dc:title/>
</cp:coreProperties>
</file>

<file path=docProps/custom.xml><?xml version="1.0" encoding="utf-8"?>
<Properties xmlns="http://schemas.openxmlformats.org/officeDocument/2006/custom-properties" xmlns:vt="http://schemas.openxmlformats.org/officeDocument/2006/docPropsVTypes"/>
</file>