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892E" w14:textId="77777777" w:rsidR="00332638" w:rsidRDefault="00332638" w:rsidP="009F75EE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9D9EA" w14:textId="7E99E559" w:rsidR="008A6582" w:rsidRPr="00071DC3" w:rsidRDefault="00626542" w:rsidP="009F75EE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AF9D9EB" w14:textId="77777777" w:rsidR="008A6582" w:rsidRPr="00071DC3" w:rsidRDefault="006265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7AF9D9EC" w14:textId="77777777" w:rsidR="008A6582" w:rsidRPr="00071DC3" w:rsidRDefault="0062654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7AF9D9ED" w14:textId="77777777" w:rsidR="008A6582" w:rsidRPr="00071DC3" w:rsidRDefault="00BA1CE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AF9D9EE" w14:textId="77777777" w:rsidR="001F5FA0" w:rsidRPr="00071DC3" w:rsidRDefault="001F5FA0" w:rsidP="001F5FA0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A6582" w:rsidRPr="00071DC3" w14:paraId="7AF9D9F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D9EF" w14:textId="77777777" w:rsidR="008A6582" w:rsidRPr="00071DC3" w:rsidRDefault="006265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D9F0" w14:textId="77777777" w:rsidR="008A6582" w:rsidRPr="00071DC3" w:rsidRDefault="006265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D9F1" w14:textId="77777777" w:rsidR="008A6582" w:rsidRPr="00071DC3" w:rsidRDefault="00626542" w:rsidP="001F5F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 які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="00C97360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A6582" w:rsidRPr="00332638" w14:paraId="7AF9DA02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9F3" w14:textId="77777777" w:rsidR="008A6582" w:rsidRPr="00071DC3" w:rsidRDefault="00C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2654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9F4" w14:textId="77777777" w:rsidR="008A6582" w:rsidRPr="00071DC3" w:rsidRDefault="00BA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виконання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за предметом закупівлі договору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9F5" w14:textId="77777777" w:rsidR="008A6582" w:rsidRPr="00071DC3" w:rsidRDefault="00C9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) за предметом закупівлі договору (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Учасник 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F9D9F6" w14:textId="77777777" w:rsidR="007D6D01" w:rsidRPr="00071DC3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F9D9F7" w14:textId="77777777" w:rsidR="00C97360" w:rsidRPr="00071DC3" w:rsidRDefault="00C9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45D1E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6D01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оригінал 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</w:t>
            </w:r>
            <w:r w:rsidR="007D6D01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довільній формі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 інформацією про виконання</w:t>
            </w:r>
            <w:r w:rsidR="00CF7325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аналогічного (аналогічних) за предметом закупівлі договору (договорів)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одного договору)</w:t>
            </w:r>
            <w:r w:rsidR="00E31FBC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обов’язковим зазначенням </w:t>
            </w:r>
            <w:r w:rsidR="00E31FBC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та дати договору; назви контрагента, його коду ЄДРПОУ </w:t>
            </w:r>
            <w:r w:rsidR="00E31FBC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52221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контрагентів - фізичних осіб: Реєстраційний номер облікової картки платника податків (РНОКПП)/індивідуальний податковий номер (ІПН))</w:t>
            </w:r>
            <w:r w:rsidR="00CF7325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F7325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7AF9D9F8" w14:textId="77777777" w:rsidR="007D6D01" w:rsidRPr="00071DC3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F9D9F9" w14:textId="77777777" w:rsidR="008A6582" w:rsidRPr="00071DC3" w:rsidRDefault="00C9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5D1E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менше </w:t>
            </w:r>
            <w:r w:rsidR="00A14198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одного </w:t>
            </w:r>
            <w:r w:rsidR="007D6D01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A14198" w:rsidRPr="00071DC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proofErr w:type="spellEnd"/>
            <w:r w:rsidR="00A14198" w:rsidRPr="00071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14198" w:rsidRPr="00071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198" w:rsidRPr="00071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14198" w:rsidRPr="00071D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14198" w:rsidRPr="00071DC3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proofErr w:type="spellEnd"/>
            <w:r w:rsidR="00A14198" w:rsidRPr="00071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A14198" w:rsidRPr="00071D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</w:t>
            </w:r>
            <w:r w:rsidRPr="00071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62654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згідно п. 1.</w:t>
            </w:r>
            <w:r w:rsidR="00645D1E"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даної таблиці.</w:t>
            </w:r>
          </w:p>
          <w:p w14:paraId="7AF9D9FA" w14:textId="77777777" w:rsidR="007D6D01" w:rsidRPr="00071DC3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F9D9FB" w14:textId="77777777" w:rsidR="007D6D01" w:rsidRPr="00071DC3" w:rsidRDefault="007D6D01" w:rsidP="007D6D0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Допускається відсутність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окремих сторінок договору та/або додатків до нього</w:t>
            </w:r>
            <w:r w:rsidRPr="000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, у випадку якщо зміст відсутніх сторінок не впливає на можливість Замовника упевнитися, що наданий договір є аналогічним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, і що надані підтверджуючі документи стосуються безпосередньо наданого договору.</w:t>
            </w:r>
          </w:p>
          <w:p w14:paraId="7AF9D9FC" w14:textId="77777777" w:rsidR="007D6D01" w:rsidRPr="00071DC3" w:rsidRDefault="007D6D01" w:rsidP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Аналогічний договір може надаватися без додаткових угод, які зазначені як невід’ємні частини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договору тощо, 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 xml:space="preserve">у випадку </w:t>
            </w:r>
            <w:r w:rsidRPr="000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якщо зміст додаткових угод не впливає </w:t>
            </w:r>
            <w:r w:rsidR="00DC4942" w:rsidRPr="000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на можливість Замовника упевнитися в повному виконанні договору</w:t>
            </w:r>
            <w:r w:rsidR="00CF7325" w:rsidRPr="000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 з боку учасника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.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7AF9D9FD" w14:textId="77777777" w:rsidR="007D6D01" w:rsidRPr="00071DC3" w:rsidRDefault="007D6D01" w:rsidP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відсутність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вважатись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невідповідністю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тендерної пропозиції  учасник</w:t>
            </w:r>
            <w:r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DC4942" w:rsidRPr="00071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7AF9D9FE" w14:textId="77777777" w:rsidR="007D6D01" w:rsidRPr="00071DC3" w:rsidRDefault="007D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BD1A99" w14:textId="77777777" w:rsidR="00FE709D" w:rsidRPr="00C051E7" w:rsidRDefault="00FE709D" w:rsidP="00FE709D">
            <w:pPr>
              <w:pStyle w:val="11"/>
              <w:contextualSpacing/>
              <w:jc w:val="both"/>
              <w:rPr>
                <w:rStyle w:val="Hyperlink1"/>
                <w:rFonts w:eastAsia="Arial Unicode MS"/>
                <w:sz w:val="22"/>
                <w:szCs w:val="22"/>
                <w:lang w:val="uk-UA"/>
              </w:rPr>
            </w:pP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>1.3. Для підтвердження зазначеної інформації Учасник повинен надати:</w:t>
            </w:r>
          </w:p>
          <w:p w14:paraId="34B2136F" w14:textId="77777777" w:rsidR="00FE709D" w:rsidRPr="00C051E7" w:rsidRDefault="00FE709D" w:rsidP="00FE709D">
            <w:pPr>
              <w:pStyle w:val="11"/>
              <w:contextualSpacing/>
              <w:jc w:val="both"/>
              <w:rPr>
                <w:rStyle w:val="Hyperlink1"/>
                <w:rFonts w:eastAsia="Arial Unicode MS"/>
                <w:sz w:val="22"/>
                <w:szCs w:val="22"/>
                <w:lang w:val="uk-UA"/>
              </w:rPr>
            </w:pPr>
            <w:r w:rsidRPr="00C051E7">
              <w:rPr>
                <w:rStyle w:val="Hyperlink1"/>
                <w:rFonts w:eastAsia="Arial Unicode MS"/>
                <w:lang w:val="uk-UA"/>
              </w:rPr>
              <w:t xml:space="preserve">- </w:t>
            </w:r>
            <w:r w:rsidRPr="00C051E7">
              <w:rPr>
                <w:rStyle w:val="af5"/>
                <w:rFonts w:cs="Times New Roman"/>
                <w:b/>
                <w:bCs/>
                <w:sz w:val="22"/>
                <w:szCs w:val="22"/>
                <w:lang w:val="uk-UA"/>
              </w:rPr>
              <w:t>копію договору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зазначеного в довідці в повному обсязі,</w:t>
            </w:r>
          </w:p>
          <w:p w14:paraId="5848A81A" w14:textId="77777777" w:rsidR="00FE709D" w:rsidRPr="009A3112" w:rsidRDefault="00FE709D" w:rsidP="00FE709D">
            <w:pPr>
              <w:pStyle w:val="11"/>
              <w:contextualSpacing/>
              <w:jc w:val="both"/>
              <w:rPr>
                <w:rStyle w:val="af5"/>
                <w:rFonts w:cs="Times New Roman"/>
                <w:sz w:val="22"/>
                <w:szCs w:val="22"/>
                <w:lang w:val="uk-UA"/>
              </w:rPr>
            </w:pP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- та/або </w:t>
            </w:r>
            <w:r w:rsidRPr="00C051E7">
              <w:rPr>
                <w:rStyle w:val="af5"/>
                <w:rFonts w:cs="Times New Roman"/>
                <w:b/>
                <w:bCs/>
                <w:sz w:val="22"/>
                <w:szCs w:val="22"/>
                <w:lang w:val="uk-UA"/>
              </w:rPr>
              <w:t>відгук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від замовник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а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>, що ц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ей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аналогічн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ий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догов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ір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бу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в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виконан</w:t>
            </w:r>
            <w:r w:rsidRPr="00C051E7">
              <w:rPr>
                <w:rStyle w:val="af5"/>
                <w:rFonts w:cs="Times New Roman"/>
                <w:sz w:val="22"/>
                <w:szCs w:val="22"/>
                <w:lang w:val="uk-UA"/>
              </w:rPr>
              <w:t>ий</w:t>
            </w:r>
            <w:r w:rsidRPr="00C051E7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в повному обсязі.</w:t>
            </w:r>
            <w:r w:rsidRPr="009A3112">
              <w:rPr>
                <w:rStyle w:val="Hyperlink1"/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14:paraId="7AF9DA00" w14:textId="77777777" w:rsidR="0000366E" w:rsidRPr="00071DC3" w:rsidRDefault="0000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F9DA01" w14:textId="2CC70D74" w:rsidR="008850D1" w:rsidRPr="00347419" w:rsidRDefault="00877814" w:rsidP="003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7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Аналогічним договором відповідно до умов цієї тендерної документації є договір, на закупівлю лікарських засобів</w:t>
            </w:r>
            <w:r w:rsidR="00DB5524" w:rsidRPr="00C571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кодом </w:t>
            </w:r>
            <w:r w:rsidR="00347419" w:rsidRPr="00347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 021:2015 - 336</w:t>
            </w:r>
            <w:r w:rsidR="00347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2872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0000-3</w:t>
            </w:r>
            <w:r w:rsidRPr="00347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47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Лікарські засоби різні</w:t>
            </w:r>
            <w:r w:rsidR="002141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7AF9DA03" w14:textId="77777777" w:rsidR="00C97360" w:rsidRPr="00071DC3" w:rsidRDefault="00C97360" w:rsidP="00DC49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Якщо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інше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не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вимагається</w:t>
      </w:r>
      <w:proofErr w:type="spellEnd"/>
      <w:r w:rsidR="00BA1CE2" w:rsidRPr="00071DC3">
        <w:rPr>
          <w:rStyle w:val="rvts0"/>
          <w:rFonts w:ascii="Times New Roman" w:hAnsi="Times New Roman"/>
          <w:sz w:val="24"/>
          <w:szCs w:val="24"/>
          <w:lang w:val="uk-UA"/>
        </w:rPr>
        <w:t xml:space="preserve"> окремо</w:t>
      </w:r>
      <w:r w:rsidRPr="00071DC3">
        <w:rPr>
          <w:rStyle w:val="rvts0"/>
          <w:rFonts w:ascii="Times New Roman" w:hAnsi="Times New Roman"/>
          <w:sz w:val="24"/>
          <w:szCs w:val="24"/>
        </w:rPr>
        <w:t xml:space="preserve">, учасник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має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надавати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документи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скановані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з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оригіналів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або </w:t>
      </w:r>
      <w:proofErr w:type="spellStart"/>
      <w:r w:rsidRPr="00071DC3">
        <w:rPr>
          <w:rStyle w:val="rvts0"/>
          <w:rFonts w:ascii="Times New Roman" w:hAnsi="Times New Roman"/>
          <w:sz w:val="24"/>
          <w:szCs w:val="24"/>
        </w:rPr>
        <w:t>копій</w:t>
      </w:r>
      <w:proofErr w:type="spellEnd"/>
      <w:r w:rsidRPr="00071DC3">
        <w:rPr>
          <w:rStyle w:val="rvts0"/>
          <w:rFonts w:ascii="Times New Roman" w:hAnsi="Times New Roman"/>
          <w:sz w:val="24"/>
          <w:szCs w:val="24"/>
        </w:rPr>
        <w:t xml:space="preserve"> документів.</w:t>
      </w:r>
    </w:p>
    <w:p w14:paraId="7AF9DA04" w14:textId="77777777" w:rsidR="008A6582" w:rsidRPr="00071DC3" w:rsidRDefault="0062654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AF9DA05" w14:textId="77777777" w:rsidR="00BA1CE2" w:rsidRPr="00071DC3" w:rsidRDefault="00BA1C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DA06" w14:textId="77777777" w:rsidR="00BA1CE2" w:rsidRPr="00071DC3" w:rsidRDefault="00BA1CE2" w:rsidP="00BA1CE2">
      <w:pPr>
        <w:pStyle w:val="a6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2. ПІДТВЕРДЖЕННЯ ВІДПОВІДНОСТІ 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УЧАСНИКА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(В ТОМУ ЧИСЛІ ДЛЯ ОБ’ЄДНАННЯ УЧАСНИКІВ ЯК УЧАСНИКА ПРОЦЕДУРИ)  ВИМОГАМ, ВИЗНАЧЕНИМ У ПУНКТІ 44 ОСОБЛИВОСТЕЙ.</w:t>
      </w:r>
    </w:p>
    <w:p w14:paraId="7AF9DA07" w14:textId="77777777" w:rsidR="00BA1CE2" w:rsidRPr="00071DC3" w:rsidRDefault="00BA1CE2" w:rsidP="00BA1CE2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DA08" w14:textId="77777777" w:rsidR="00BA1CE2" w:rsidRPr="00071DC3" w:rsidRDefault="00BA1CE2" w:rsidP="00BA1C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7AF9DA09" w14:textId="77777777" w:rsidR="00BA1CE2" w:rsidRPr="00877814" w:rsidRDefault="00BA1CE2" w:rsidP="00BA1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7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8778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877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пропозиції.</w:t>
      </w:r>
    </w:p>
    <w:p w14:paraId="7AF9DA0A" w14:textId="77777777" w:rsidR="00BA1CE2" w:rsidRPr="00071DC3" w:rsidRDefault="00BA1CE2" w:rsidP="00BA1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довідку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довільній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процедури закупівлі в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у відкритих торгах,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абзаці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 пункту 44 Особливостей.</w:t>
      </w:r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Учасник процедури закупівлі, що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у цьому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у відкритих торгах. Для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учасник (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що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процедури закупівлі не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закупівлі.</w:t>
      </w:r>
    </w:p>
    <w:p w14:paraId="7AF9DA0B" w14:textId="77777777" w:rsidR="00BA1CE2" w:rsidRPr="00071DC3" w:rsidRDefault="00BA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DA0C" w14:textId="77777777" w:rsidR="00BA1CE2" w:rsidRPr="00071DC3" w:rsidRDefault="00BA1CE2" w:rsidP="00BA1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ПІДТВЕРДЖЕННЯ ВІДПОВІДНОСТІ 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ПЕРЕМОЖЦЯ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ВИМОГАМ, ВИЗНАЧЕНИМ У ПУНКТІ 44 ОСОБЛИВОСТЕЙ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7AF9DA0D" w14:textId="77777777" w:rsidR="00BA1CE2" w:rsidRPr="00071DC3" w:rsidRDefault="00BA1CE2" w:rsidP="00BA1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AF9DA0E" w14:textId="77777777" w:rsidR="00BA1CE2" w:rsidRPr="00071DC3" w:rsidRDefault="00BA1CE2" w:rsidP="00BA1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зазначених у підпунктах 3, 5, 6 і 12 та в абзаці чотирнадцятому пункту 44 Особливостей.</w:t>
      </w:r>
      <w:r w:rsidRPr="00071D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AF9DA0F" w14:textId="77777777" w:rsidR="00BA1CE2" w:rsidRPr="00071DC3" w:rsidRDefault="00BA1CE2" w:rsidP="00BA1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DA10" w14:textId="77777777" w:rsidR="00BA1CE2" w:rsidRPr="00071DC3" w:rsidRDefault="00BA1CE2" w:rsidP="00BA1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та/ або Законом та/ або Особливостями,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від того, у яких днях (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чи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D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071D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7AF9DA11" w14:textId="77777777" w:rsidR="00BA1CE2" w:rsidRPr="00071DC3" w:rsidRDefault="00BA1CE2" w:rsidP="00BA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AF9DA12" w14:textId="77777777" w:rsidR="00BA1CE2" w:rsidRDefault="00BA1CE2" w:rsidP="00BA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, які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юридичною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особою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7AF9DA13" w14:textId="77777777" w:rsidR="00071DC3" w:rsidRPr="00071DC3" w:rsidRDefault="00071DC3" w:rsidP="00BA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A1CE2" w:rsidRPr="00071DC3" w14:paraId="7AF9DA19" w14:textId="77777777" w:rsidTr="005A790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4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F9DA15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6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п. 44 Особливостей</w:t>
            </w:r>
          </w:p>
          <w:p w14:paraId="7AF9DA17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8" w14:textId="77777777" w:rsidR="00BA1CE2" w:rsidRPr="00071DC3" w:rsidRDefault="00BA1CE2" w:rsidP="00071D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торгів на виконання вимоги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п. 44 Особливостей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1CE2" w:rsidRPr="00071DC3" w14:paraId="7AF9DA20" w14:textId="77777777" w:rsidTr="005A790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A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B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учасником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із законом 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9DA1C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1D" w14:textId="654ED4D7" w:rsidR="00BA1CE2" w:rsidRPr="00071DC3" w:rsidRDefault="00BA1CE2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які вчинили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пов’язані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згідно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пов'язані з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керівника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</w:t>
            </w:r>
            <w:r w:rsidR="005178CF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службової (посадової) особи учасника процедури закупівлі, яку уповноважено учасником представляти його інтереси під час проведення процедури закупівлі</w:t>
            </w:r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які вчинили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пов’язані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F9DA1E" w14:textId="77777777" w:rsidR="00071DC3" w:rsidRPr="00071DC3" w:rsidRDefault="00071DC3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F9DA1F" w14:textId="77777777" w:rsidR="00071DC3" w:rsidRPr="00071DC3" w:rsidRDefault="00071DC3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!!!!! 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деся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тиденної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подання документа.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CE2" w:rsidRPr="00071DC3" w14:paraId="7AF9DA27" w14:textId="77777777" w:rsidTr="005A790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1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2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не погашено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7AF9DA23" w14:textId="77777777" w:rsidR="00BA1CE2" w:rsidRPr="00071DC3" w:rsidRDefault="00BA1CE2" w:rsidP="005A79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9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4" w14:textId="5F803FED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системи «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наявності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електронній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України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закупівлі, </w:t>
            </w:r>
            <w:proofErr w:type="spellStart"/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</w:t>
            </w:r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(посадов</w:t>
            </w:r>
            <w:proofErr w:type="spellStart"/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особ</w:t>
            </w:r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E56479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закупівлі, </w:t>
            </w:r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яка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тендерну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F9DA25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F9DA26" w14:textId="77777777" w:rsidR="00BA1CE2" w:rsidRPr="00071DC3" w:rsidRDefault="00071DC3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!!!!! </w:t>
            </w:r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</w:t>
            </w:r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тридцятиденної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подання документа.</w:t>
            </w:r>
            <w:r w:rsidR="00BA1CE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CE2" w:rsidRPr="00071DC3" w14:paraId="7AF9DA2C" w14:textId="77777777" w:rsidTr="005A790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8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9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учасником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із законом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будь-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торгівлі людьми.</w:t>
            </w:r>
          </w:p>
          <w:p w14:paraId="7AF9DA2A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B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E2" w:rsidRPr="00071DC3" w14:paraId="7AF9DA31" w14:textId="77777777" w:rsidTr="005A790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D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2E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закупівлю з цим самим замовником,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його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вигляді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Учасник процедури закупівлі,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цьому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торгах.  </w:t>
            </w:r>
          </w:p>
          <w:p w14:paraId="7AF9DA2F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0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замовником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замовником договором про закупівлю,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відповідно,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його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вигляді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 (для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AF9DA32" w14:textId="77777777" w:rsidR="00BA1CE2" w:rsidRPr="00071DC3" w:rsidRDefault="00BA1CE2" w:rsidP="00BA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9DA33" w14:textId="77777777" w:rsidR="00BA1CE2" w:rsidRDefault="00BA1CE2" w:rsidP="00BA1C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, які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фізичною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особою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чи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7AF9DA34" w14:textId="77777777" w:rsidR="00071DC3" w:rsidRPr="00071DC3" w:rsidRDefault="00071DC3" w:rsidP="0007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A1CE2" w:rsidRPr="00071DC3" w14:paraId="7AF9DA3A" w14:textId="77777777" w:rsidTr="005A790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5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F9DA36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7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</w:p>
          <w:p w14:paraId="7AF9DA38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9" w14:textId="77777777" w:rsidR="00BA1CE2" w:rsidRPr="00071DC3" w:rsidRDefault="00BA1CE2" w:rsidP="00071D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торгів на виконання вимоги 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1CE2" w:rsidRPr="00071DC3" w14:paraId="7AF9DA41" w14:textId="77777777" w:rsidTr="005A790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B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3C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учасником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із законом 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9DA3D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03F6" w14:textId="77777777" w:rsidR="005178CF" w:rsidRPr="00C57109" w:rsidRDefault="00BA1CE2" w:rsidP="005178C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які вчинили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пов’язані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згідно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пов'язані з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78CF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="005178CF"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учасником процедури закупівлі. </w:t>
            </w:r>
          </w:p>
          <w:p w14:paraId="7AF9DA3E" w14:textId="50460509" w:rsidR="00BA1CE2" w:rsidRPr="00071DC3" w:rsidRDefault="00BA1CE2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які вчинили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пов’язані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F9DA3F" w14:textId="77777777" w:rsidR="00071DC3" w:rsidRPr="00071DC3" w:rsidRDefault="00071DC3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F9DA40" w14:textId="77777777" w:rsidR="00071DC3" w:rsidRPr="00071DC3" w:rsidRDefault="00071DC3" w:rsidP="00071D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!!!!! 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деся</w:t>
            </w: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тиденної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подання документа.</w:t>
            </w: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CE2" w:rsidRPr="00071DC3" w14:paraId="7AF9DA48" w14:textId="77777777" w:rsidTr="005A790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2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3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учасником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не погашено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7AF9DA44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5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системи «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наявності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електронній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України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учасником процедури закупівлі. </w:t>
            </w:r>
          </w:p>
          <w:p w14:paraId="7AF9DA46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F9DA47" w14:textId="77777777" w:rsidR="00BA1CE2" w:rsidRPr="00071DC3" w:rsidRDefault="00071DC3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!!!!! </w:t>
            </w:r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</w:t>
            </w:r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більше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тридцятиденної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давнини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="00BA1CE2"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подання документа.</w:t>
            </w:r>
            <w:r w:rsidR="00BA1CE2"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CE2" w:rsidRPr="00071DC3" w14:paraId="7AF9DA4D" w14:textId="77777777" w:rsidTr="00071DC3">
        <w:trPr>
          <w:trHeight w:val="90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9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A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учасником процедури закупівлі,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із законом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будь-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торгівлі людьми.</w:t>
            </w:r>
          </w:p>
          <w:p w14:paraId="7AF9DA4B" w14:textId="77777777" w:rsidR="00BA1CE2" w:rsidRPr="00071DC3" w:rsidRDefault="00BA1CE2" w:rsidP="005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C" w14:textId="77777777" w:rsidR="00BA1CE2" w:rsidRPr="00071DC3" w:rsidRDefault="00BA1CE2" w:rsidP="005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E2" w:rsidRPr="00071DC3" w14:paraId="7AF9DA52" w14:textId="77777777" w:rsidTr="005A7905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E" w14:textId="77777777" w:rsidR="00BA1CE2" w:rsidRPr="00071DC3" w:rsidRDefault="00BA1CE2" w:rsidP="005A79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4F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закупівлю з цим самим замовником,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його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вигляді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Учасник процедури закупівлі,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цьому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торгах.  </w:t>
            </w:r>
          </w:p>
          <w:p w14:paraId="7AF9DA50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DA51" w14:textId="77777777" w:rsidR="00BA1CE2" w:rsidRPr="00071DC3" w:rsidRDefault="00BA1CE2" w:rsidP="005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замовником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замовником договором про закупівлю, відповідно,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його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вигляді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 (для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що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7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AF9DA53" w14:textId="77777777" w:rsidR="00BA1CE2" w:rsidRDefault="00BA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15FB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050C2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324D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CC638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C4570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B0847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444DE" w14:textId="77777777" w:rsidR="00332638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9CECD" w14:textId="77777777" w:rsidR="00332638" w:rsidRPr="00071DC3" w:rsidRDefault="0033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9DA54" w14:textId="77777777" w:rsidR="00BA1CE2" w:rsidRPr="00071DC3" w:rsidRDefault="00BA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DA55" w14:textId="77777777" w:rsidR="00071DC3" w:rsidRPr="00071DC3" w:rsidRDefault="00071DC3" w:rsidP="0007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ІНША ІНФОРМАЦІЯ ВСТАНОВЛЕНА ВІДПОВІДНО ДО ЗАКОНОДАВСТВА (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УЧАСНИКІВ</w:t>
      </w:r>
      <w:r w:rsidRPr="00071DC3">
        <w:rPr>
          <w:rFonts w:ascii="Times New Roman" w:eastAsia="Times New Roman" w:hAnsi="Times New Roman" w:cs="Times New Roman"/>
          <w:b/>
          <w:sz w:val="24"/>
          <w:szCs w:val="24"/>
        </w:rPr>
        <w:t xml:space="preserve"> — ЮРИДИЧНИХ ОСІБ, ФІЗИЧНИХ ОСІБ ТА ФІЗИЧНИХ ОСІБ — ПІДПРИЄМЦІВ).</w:t>
      </w:r>
    </w:p>
    <w:p w14:paraId="7AF9DA5C" w14:textId="77777777" w:rsidR="008A6582" w:rsidRPr="00071DC3" w:rsidRDefault="008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005AA" w:rsidRPr="009C745F" w14:paraId="7A9325B6" w14:textId="77777777" w:rsidTr="00C61CA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4873" w14:textId="77777777" w:rsidR="008005AA" w:rsidRPr="009C745F" w:rsidRDefault="008005AA" w:rsidP="00C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Учасника:</w:t>
            </w:r>
          </w:p>
        </w:tc>
      </w:tr>
      <w:tr w:rsidR="008005AA" w:rsidRPr="009C745F" w14:paraId="5855CEF3" w14:textId="77777777" w:rsidTr="00C61CA6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B152" w14:textId="77777777" w:rsidR="008005AA" w:rsidRPr="009C745F" w:rsidRDefault="008005AA" w:rsidP="00C61C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A0E1" w14:textId="77777777" w:rsidR="008005AA" w:rsidRPr="009C745F" w:rsidRDefault="008005AA" w:rsidP="00C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подається </w:t>
            </w:r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керівником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</w:t>
            </w:r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учасник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довіреність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таку особу.</w:t>
            </w:r>
          </w:p>
        </w:tc>
      </w:tr>
      <w:tr w:rsidR="008005AA" w:rsidRPr="009C745F" w14:paraId="4AB28CDE" w14:textId="77777777" w:rsidTr="00C61CA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19D0" w14:textId="77777777" w:rsidR="008005AA" w:rsidRPr="009C745F" w:rsidRDefault="008005AA" w:rsidP="00C61CA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4317" w14:textId="77777777" w:rsidR="008005AA" w:rsidRPr="009C745F" w:rsidRDefault="008005AA" w:rsidP="00C61CA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вигляді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документа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передбачено законом.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учасник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 документ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8005AA" w:rsidRPr="00332638" w14:paraId="0B87E02E" w14:textId="77777777" w:rsidTr="00C61CA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ED60" w14:textId="77777777" w:rsidR="008005AA" w:rsidRPr="009C745F" w:rsidRDefault="008005AA" w:rsidP="00C61CA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55B7" w14:textId="77777777" w:rsidR="008005AA" w:rsidRPr="009C745F" w:rsidRDefault="008005AA" w:rsidP="00C61CA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кінцевого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що є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засновником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учасника, її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країна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по-батькові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засновника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та/або кінцевого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власника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адреса його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громадянство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8A1F27" w14:textId="77777777" w:rsidR="008005AA" w:rsidRPr="009C745F" w:rsidRDefault="008005AA" w:rsidP="00C61CA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D9F48E" w14:textId="77777777" w:rsidR="008005AA" w:rsidRPr="009C745F" w:rsidRDefault="008005AA" w:rsidP="00C61CA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9C7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9C7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005AA" w:rsidRPr="009C745F" w14:paraId="1054171F" w14:textId="77777777" w:rsidTr="00C61CA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EA19" w14:textId="77777777" w:rsidR="008005AA" w:rsidRPr="009C745F" w:rsidRDefault="008005AA" w:rsidP="00C61CA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B36C" w14:textId="77777777" w:rsidR="008005AA" w:rsidRPr="009C745F" w:rsidRDefault="008005AA" w:rsidP="00C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вартість закупівлі товару (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або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перевищує 20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(у тому числі за лотом),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оформлена відповідно до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за </w:t>
            </w:r>
            <w:hyperlink r:id="rId8">
              <w:r w:rsidRPr="009C74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Наказом № 794/21</w:t>
              </w:r>
            </w:hyperlink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її </w:t>
            </w:r>
            <w:proofErr w:type="spellStart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C7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F9DA5D" w14:textId="77777777" w:rsidR="008A6582" w:rsidRPr="008005AA" w:rsidRDefault="008A65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6582" w:rsidRPr="008005AA" w:rsidSect="00BA1CE2">
      <w:footerReference w:type="default" r:id="rId9"/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1B7" w14:textId="77777777" w:rsidR="001E1528" w:rsidRDefault="001E1528" w:rsidP="009B35B3">
      <w:pPr>
        <w:spacing w:after="0" w:line="240" w:lineRule="auto"/>
      </w:pPr>
      <w:r>
        <w:separator/>
      </w:r>
    </w:p>
  </w:endnote>
  <w:endnote w:type="continuationSeparator" w:id="0">
    <w:p w14:paraId="27AF218F" w14:textId="77777777" w:rsidR="001E1528" w:rsidRDefault="001E1528" w:rsidP="009B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735005"/>
      <w:docPartObj>
        <w:docPartGallery w:val="Page Numbers (Bottom of Page)"/>
        <w:docPartUnique/>
      </w:docPartObj>
    </w:sdtPr>
    <w:sdtEndPr/>
    <w:sdtContent>
      <w:p w14:paraId="5B3054FD" w14:textId="6A1D4BFD" w:rsidR="00094186" w:rsidRDefault="0009418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62">
          <w:rPr>
            <w:noProof/>
          </w:rPr>
          <w:t>2</w:t>
        </w:r>
        <w:r>
          <w:fldChar w:fldCharType="end"/>
        </w:r>
      </w:p>
    </w:sdtContent>
  </w:sdt>
  <w:p w14:paraId="62032813" w14:textId="77777777" w:rsidR="00094186" w:rsidRDefault="0009418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F636" w14:textId="77777777" w:rsidR="001E1528" w:rsidRDefault="001E1528" w:rsidP="009B35B3">
      <w:pPr>
        <w:spacing w:after="0" w:line="240" w:lineRule="auto"/>
      </w:pPr>
      <w:r>
        <w:separator/>
      </w:r>
    </w:p>
  </w:footnote>
  <w:footnote w:type="continuationSeparator" w:id="0">
    <w:p w14:paraId="2A45A271" w14:textId="77777777" w:rsidR="001E1528" w:rsidRDefault="001E1528" w:rsidP="009B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5F24"/>
    <w:multiLevelType w:val="multilevel"/>
    <w:tmpl w:val="4C6AD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F501E70"/>
    <w:multiLevelType w:val="hybridMultilevel"/>
    <w:tmpl w:val="B07AA740"/>
    <w:lvl w:ilvl="0" w:tplc="A9941EB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1989471">
    <w:abstractNumId w:val="0"/>
  </w:num>
  <w:num w:numId="2" w16cid:durableId="124002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82"/>
    <w:rsid w:val="0000366E"/>
    <w:rsid w:val="00033D46"/>
    <w:rsid w:val="00071AF0"/>
    <w:rsid w:val="00071DC3"/>
    <w:rsid w:val="000926F3"/>
    <w:rsid w:val="00094186"/>
    <w:rsid w:val="001211CE"/>
    <w:rsid w:val="00154A7D"/>
    <w:rsid w:val="00194B45"/>
    <w:rsid w:val="001E1528"/>
    <w:rsid w:val="001E2362"/>
    <w:rsid w:val="001F5FA0"/>
    <w:rsid w:val="002141CA"/>
    <w:rsid w:val="002766C0"/>
    <w:rsid w:val="0028249D"/>
    <w:rsid w:val="0028727A"/>
    <w:rsid w:val="002B09A7"/>
    <w:rsid w:val="00312F09"/>
    <w:rsid w:val="00332638"/>
    <w:rsid w:val="00347419"/>
    <w:rsid w:val="003954E2"/>
    <w:rsid w:val="003D0FDE"/>
    <w:rsid w:val="003E258C"/>
    <w:rsid w:val="00412DC6"/>
    <w:rsid w:val="00436A0E"/>
    <w:rsid w:val="00452221"/>
    <w:rsid w:val="00471145"/>
    <w:rsid w:val="004734E8"/>
    <w:rsid w:val="005178CF"/>
    <w:rsid w:val="0052077B"/>
    <w:rsid w:val="005218A5"/>
    <w:rsid w:val="005C08F3"/>
    <w:rsid w:val="005D0D67"/>
    <w:rsid w:val="005D323F"/>
    <w:rsid w:val="00624860"/>
    <w:rsid w:val="00626542"/>
    <w:rsid w:val="00645D1E"/>
    <w:rsid w:val="00671382"/>
    <w:rsid w:val="006B0043"/>
    <w:rsid w:val="007236FE"/>
    <w:rsid w:val="007910C8"/>
    <w:rsid w:val="007D6D01"/>
    <w:rsid w:val="008005AA"/>
    <w:rsid w:val="00877814"/>
    <w:rsid w:val="008850D1"/>
    <w:rsid w:val="008A6582"/>
    <w:rsid w:val="008B35F7"/>
    <w:rsid w:val="008C1356"/>
    <w:rsid w:val="008D74F9"/>
    <w:rsid w:val="00923B06"/>
    <w:rsid w:val="00940BAD"/>
    <w:rsid w:val="009812C4"/>
    <w:rsid w:val="009B35B3"/>
    <w:rsid w:val="009B6F56"/>
    <w:rsid w:val="009C745F"/>
    <w:rsid w:val="009F75EE"/>
    <w:rsid w:val="00A14198"/>
    <w:rsid w:val="00A378B2"/>
    <w:rsid w:val="00A50A3E"/>
    <w:rsid w:val="00A90122"/>
    <w:rsid w:val="00AA051B"/>
    <w:rsid w:val="00AA12DB"/>
    <w:rsid w:val="00AC2AE6"/>
    <w:rsid w:val="00AF5720"/>
    <w:rsid w:val="00B05114"/>
    <w:rsid w:val="00B072FD"/>
    <w:rsid w:val="00B216E8"/>
    <w:rsid w:val="00B84708"/>
    <w:rsid w:val="00BA1CE2"/>
    <w:rsid w:val="00BB2BDB"/>
    <w:rsid w:val="00BC6C0E"/>
    <w:rsid w:val="00C336DD"/>
    <w:rsid w:val="00C57109"/>
    <w:rsid w:val="00C871A6"/>
    <w:rsid w:val="00C97360"/>
    <w:rsid w:val="00CA1296"/>
    <w:rsid w:val="00CE4DC3"/>
    <w:rsid w:val="00CF7325"/>
    <w:rsid w:val="00D07A27"/>
    <w:rsid w:val="00DB5524"/>
    <w:rsid w:val="00DC4942"/>
    <w:rsid w:val="00DC6E64"/>
    <w:rsid w:val="00E31FBC"/>
    <w:rsid w:val="00E56479"/>
    <w:rsid w:val="00E56B4E"/>
    <w:rsid w:val="00E8322E"/>
    <w:rsid w:val="00EE6BBA"/>
    <w:rsid w:val="00EF4018"/>
    <w:rsid w:val="00F5072F"/>
    <w:rsid w:val="00F51DBB"/>
    <w:rsid w:val="00F809CC"/>
    <w:rsid w:val="00FB188C"/>
    <w:rsid w:val="00FE36CC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9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82"/>
  </w:style>
  <w:style w:type="paragraph" w:styleId="1">
    <w:name w:val="heading 1"/>
    <w:basedOn w:val="10"/>
    <w:next w:val="10"/>
    <w:rsid w:val="008A6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6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6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65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65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A6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A6582"/>
  </w:style>
  <w:style w:type="table" w:customStyle="1" w:styleId="TableNormal">
    <w:name w:val="Table Normal"/>
    <w:rsid w:val="008A6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65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8A65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A65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>
    <w:name w:val="Table Grid"/>
    <w:basedOn w:val="a1"/>
    <w:uiPriority w:val="59"/>
    <w:rsid w:val="001F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C97360"/>
    <w:rPr>
      <w:rFonts w:cs="Times New Roman"/>
    </w:rPr>
  </w:style>
  <w:style w:type="character" w:styleId="af0">
    <w:name w:val="Strong"/>
    <w:basedOn w:val="a0"/>
    <w:uiPriority w:val="22"/>
    <w:qFormat/>
    <w:rsid w:val="008850D1"/>
    <w:rPr>
      <w:b/>
      <w:bCs/>
    </w:rPr>
  </w:style>
  <w:style w:type="paragraph" w:styleId="af1">
    <w:name w:val="header"/>
    <w:basedOn w:val="a"/>
    <w:link w:val="af2"/>
    <w:uiPriority w:val="99"/>
    <w:unhideWhenUsed/>
    <w:rsid w:val="009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35B3"/>
  </w:style>
  <w:style w:type="paragraph" w:styleId="af3">
    <w:name w:val="footer"/>
    <w:basedOn w:val="a"/>
    <w:link w:val="af4"/>
    <w:uiPriority w:val="99"/>
    <w:unhideWhenUsed/>
    <w:rsid w:val="009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35B3"/>
  </w:style>
  <w:style w:type="paragraph" w:customStyle="1" w:styleId="11">
    <w:name w:val="Обычный1"/>
    <w:rsid w:val="00FE70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f5">
    <w:name w:val="Нет"/>
    <w:rsid w:val="00FE709D"/>
  </w:style>
  <w:style w:type="character" w:customStyle="1" w:styleId="Hyperlink1">
    <w:name w:val="Hyperlink.1"/>
    <w:basedOn w:val="af5"/>
    <w:rsid w:val="00FE70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pro-zatverdzhennia-typovoi-antykoruptsijnoi-prohramy-iurydychnoi-oso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2023-03-15T13:51:00Z</dcterms:created>
  <dcterms:modified xsi:type="dcterms:W3CDTF">2023-04-29T11:16:00Z</dcterms:modified>
</cp:coreProperties>
</file>