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9E" w:rsidRPr="004C109E" w:rsidRDefault="004C109E" w:rsidP="004C109E">
      <w:pPr>
        <w:spacing w:line="255" w:lineRule="atLeast"/>
        <w:jc w:val="right"/>
        <w:textAlignment w:val="baseline"/>
        <w:rPr>
          <w:sz w:val="24"/>
          <w:szCs w:val="24"/>
        </w:rPr>
      </w:pPr>
      <w:r w:rsidRPr="004C109E">
        <w:rPr>
          <w:sz w:val="24"/>
          <w:szCs w:val="24"/>
        </w:rPr>
        <w:t>Додаток №1</w:t>
      </w:r>
    </w:p>
    <w:p w:rsidR="004C109E" w:rsidRPr="002D5FB2" w:rsidRDefault="00E94977" w:rsidP="004C109E">
      <w:pPr>
        <w:jc w:val="center"/>
        <w:rPr>
          <w:color w:val="141823"/>
          <w:sz w:val="24"/>
          <w:szCs w:val="24"/>
          <w:shd w:val="clear" w:color="auto" w:fill="FFFFFF"/>
        </w:rPr>
      </w:pPr>
      <w:r w:rsidRPr="004C109E">
        <w:rPr>
          <w:sz w:val="24"/>
          <w:szCs w:val="24"/>
        </w:rPr>
        <w:t>Перелік змін,що вносяться до тендерної документації на закупівлю</w:t>
      </w:r>
      <w:r w:rsidR="004C109E">
        <w:rPr>
          <w:sz w:val="24"/>
          <w:szCs w:val="24"/>
        </w:rPr>
        <w:t xml:space="preserve"> товару</w:t>
      </w:r>
      <w:r w:rsidRPr="004C109E">
        <w:rPr>
          <w:sz w:val="24"/>
          <w:szCs w:val="24"/>
        </w:rPr>
        <w:t xml:space="preserve"> </w:t>
      </w:r>
      <w:r w:rsidR="004C109E" w:rsidRPr="002D5FB2">
        <w:rPr>
          <w:color w:val="141823"/>
          <w:sz w:val="24"/>
          <w:szCs w:val="24"/>
          <w:shd w:val="clear" w:color="auto" w:fill="FFFFFF"/>
        </w:rPr>
        <w:t xml:space="preserve">Сіль технічна для утримання </w:t>
      </w:r>
      <w:proofErr w:type="spellStart"/>
      <w:r w:rsidR="004C109E" w:rsidRPr="002D5FB2">
        <w:rPr>
          <w:color w:val="14182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4C109E" w:rsidRPr="002D5FB2">
        <w:rPr>
          <w:color w:val="141823"/>
          <w:sz w:val="24"/>
          <w:szCs w:val="24"/>
          <w:shd w:val="clear" w:color="auto" w:fill="FFFFFF"/>
        </w:rPr>
        <w:t xml:space="preserve"> проїздів згідно</w:t>
      </w:r>
    </w:p>
    <w:p w:rsidR="004C109E" w:rsidRPr="002D5FB2" w:rsidRDefault="004C109E" w:rsidP="004C109E">
      <w:pPr>
        <w:shd w:val="clear" w:color="auto" w:fill="FFFFFF"/>
        <w:tabs>
          <w:tab w:val="left" w:pos="426"/>
        </w:tabs>
        <w:jc w:val="center"/>
        <w:rPr>
          <w:iCs/>
          <w:strike/>
          <w:color w:val="FF0000"/>
          <w:sz w:val="24"/>
          <w:szCs w:val="24"/>
        </w:rPr>
      </w:pPr>
      <w:r w:rsidRPr="002D5FB2">
        <w:rPr>
          <w:sz w:val="24"/>
          <w:szCs w:val="24"/>
        </w:rPr>
        <w:t xml:space="preserve">коду </w:t>
      </w:r>
      <w:proofErr w:type="spellStart"/>
      <w:r w:rsidRPr="002D5FB2">
        <w:rPr>
          <w:sz w:val="24"/>
          <w:szCs w:val="24"/>
        </w:rPr>
        <w:t>ДК</w:t>
      </w:r>
      <w:proofErr w:type="spellEnd"/>
      <w:r w:rsidRPr="002D5FB2">
        <w:rPr>
          <w:sz w:val="24"/>
          <w:szCs w:val="24"/>
        </w:rPr>
        <w:t xml:space="preserve"> 021 2015 </w:t>
      </w:r>
      <w:r w:rsidRPr="002D5FB2">
        <w:rPr>
          <w:color w:val="000000"/>
          <w:sz w:val="24"/>
          <w:szCs w:val="24"/>
        </w:rPr>
        <w:t>14410000-8 Кам’яна сіль</w:t>
      </w:r>
    </w:p>
    <w:p w:rsidR="00E94977" w:rsidRPr="004C109E" w:rsidRDefault="00E94977" w:rsidP="004C109E">
      <w:pPr>
        <w:spacing w:line="255" w:lineRule="atLeast"/>
        <w:jc w:val="center"/>
        <w:textAlignment w:val="baseline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00"/>
        <w:gridCol w:w="5296"/>
        <w:gridCol w:w="2659"/>
      </w:tblGrid>
      <w:tr w:rsidR="00E94977" w:rsidRPr="004C109E" w:rsidTr="009125F8">
        <w:tc>
          <w:tcPr>
            <w:tcW w:w="1900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Частина тендерної документації,до якої вносяться зміни  </w:t>
            </w:r>
          </w:p>
        </w:tc>
        <w:tc>
          <w:tcPr>
            <w:tcW w:w="5296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Попередня редакція </w:t>
            </w:r>
          </w:p>
        </w:tc>
        <w:tc>
          <w:tcPr>
            <w:tcW w:w="2659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Нова редакція </w:t>
            </w:r>
          </w:p>
        </w:tc>
      </w:tr>
      <w:tr w:rsidR="009B46F4" w:rsidRPr="004C109E" w:rsidTr="009125F8">
        <w:trPr>
          <w:trHeight w:val="5100"/>
        </w:trPr>
        <w:tc>
          <w:tcPr>
            <w:tcW w:w="1900" w:type="dxa"/>
            <w:tcBorders>
              <w:bottom w:val="single" w:sz="4" w:space="0" w:color="auto"/>
            </w:tcBorders>
          </w:tcPr>
          <w:p w:rsidR="009B46F4" w:rsidRPr="004C109E" w:rsidRDefault="009B46F4" w:rsidP="00E94977">
            <w:pPr>
              <w:rPr>
                <w:b/>
                <w:color w:val="000000" w:themeColor="text1"/>
                <w:sz w:val="24"/>
                <w:szCs w:val="24"/>
              </w:rPr>
            </w:pPr>
            <w:r w:rsidRPr="004C109E">
              <w:rPr>
                <w:b/>
                <w:color w:val="000000" w:themeColor="text1"/>
                <w:sz w:val="24"/>
                <w:szCs w:val="24"/>
              </w:rPr>
              <w:t>Кінцевий строк подання тендерної пропозиції</w:t>
            </w:r>
          </w:p>
          <w:p w:rsidR="009B46F4" w:rsidRPr="004C109E" w:rsidRDefault="009B46F4" w:rsidP="00E94977">
            <w:pPr>
              <w:rPr>
                <w:sz w:val="24"/>
                <w:szCs w:val="24"/>
                <w:lang w:val="ru-RU"/>
              </w:rPr>
            </w:pPr>
            <w:proofErr w:type="spellStart"/>
            <w:r w:rsidRPr="004C109E"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4C109E"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:rsidR="009B46F4" w:rsidRPr="004C109E" w:rsidRDefault="009B46F4" w:rsidP="0086405C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Кінцевий строк подання тендерних пропозицій 28.11.2023 08:00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9B46F4" w:rsidRPr="004C109E" w:rsidRDefault="009B46F4" w:rsidP="0086405C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Кінцевий строк подання тендерних пропозицій 0</w:t>
            </w:r>
            <w:r w:rsidR="00F54B35">
              <w:rPr>
                <w:color w:val="000000" w:themeColor="text1"/>
                <w:sz w:val="24"/>
                <w:szCs w:val="24"/>
              </w:rPr>
              <w:t>4</w:t>
            </w:r>
            <w:r w:rsidRPr="004C109E">
              <w:rPr>
                <w:color w:val="000000" w:themeColor="text1"/>
                <w:sz w:val="24"/>
                <w:szCs w:val="24"/>
              </w:rPr>
              <w:t>.12.2023 08:00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98070B" w:rsidRPr="004C109E" w:rsidTr="009125F8">
        <w:trPr>
          <w:trHeight w:val="408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98070B" w:rsidRPr="004C109E" w:rsidRDefault="0098070B" w:rsidP="0098070B">
            <w:pPr>
              <w:rPr>
                <w:b/>
                <w:color w:val="000000" w:themeColor="text1"/>
                <w:sz w:val="24"/>
                <w:szCs w:val="24"/>
              </w:rPr>
            </w:pPr>
            <w:r w:rsidRPr="004C109E">
              <w:rPr>
                <w:b/>
                <w:color w:val="000000" w:themeColor="text1"/>
                <w:sz w:val="24"/>
                <w:szCs w:val="24"/>
              </w:rPr>
              <w:t>Додаток №2 д</w:t>
            </w:r>
            <w:r w:rsidR="00F54B35">
              <w:rPr>
                <w:b/>
                <w:color w:val="000000" w:themeColor="text1"/>
                <w:sz w:val="24"/>
                <w:szCs w:val="24"/>
              </w:rPr>
              <w:t xml:space="preserve">о тендерної документації </w:t>
            </w:r>
            <w:proofErr w:type="spellStart"/>
            <w:r w:rsidR="00F54B35"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F54B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109E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F54B35" w:rsidRPr="002D5FB2" w:rsidRDefault="00F54B35" w:rsidP="00F54B35"/>
          <w:p w:rsidR="00F54B35" w:rsidRPr="002D5FB2" w:rsidRDefault="00F54B35" w:rsidP="00F54B35">
            <w:pPr>
              <w:jc w:val="both"/>
              <w:rPr>
                <w:noProof/>
                <w:sz w:val="24"/>
                <w:szCs w:val="24"/>
              </w:rPr>
            </w:pPr>
            <w:r w:rsidRPr="002D5FB2">
              <w:rPr>
                <w:b/>
              </w:rPr>
              <w:t>Інші документи</w:t>
            </w:r>
          </w:p>
          <w:p w:rsidR="00F54B35" w:rsidRPr="002D5FB2" w:rsidRDefault="00F54B35" w:rsidP="00F54B35">
            <w:pPr>
              <w:pStyle w:val="a4"/>
              <w:numPr>
                <w:ilvl w:val="1"/>
                <w:numId w:val="5"/>
              </w:numPr>
              <w:tabs>
                <w:tab w:val="left" w:pos="284"/>
              </w:tabs>
              <w:suppressAutoHyphens/>
              <w:ind w:left="-567" w:firstLine="567"/>
              <w:jc w:val="both"/>
            </w:pPr>
            <w:r w:rsidRPr="002D5FB2">
              <w:t>Відомості про виробника товару та країну походження (назва юридичної особи, адреса реєстрації):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160" w:line="256" w:lineRule="auto"/>
              <w:ind w:left="-567" w:firstLine="567"/>
              <w:jc w:val="both"/>
            </w:pPr>
            <w:r w:rsidRPr="002D5FB2">
              <w:t xml:space="preserve">для підтвердження взаємовідносин учасника процедури закупівлі з виробником Товару та/або офіційним представником виробника Товару/дилером та/або  іншим суб’єктом господарювання у якого учасник придбав товар, надати  копію договору або договорів разом з документами що підтверджують такий статус (договір, сертифікат, </w:t>
            </w:r>
            <w:proofErr w:type="spellStart"/>
            <w:r w:rsidRPr="002D5FB2">
              <w:t>авторизаційний</w:t>
            </w:r>
            <w:proofErr w:type="spellEnd"/>
            <w:r w:rsidRPr="002D5FB2">
              <w:t xml:space="preserve"> лист) (інформація про вартість товару та загальна сума договору учасники можуть не відкривати), обсяг товару що закуповується відповідно договору(договорів) повинен бути не менше обсягу цієї закупівлі. 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160" w:line="256" w:lineRule="auto"/>
              <w:ind w:left="-567" w:firstLine="567"/>
              <w:jc w:val="both"/>
            </w:pPr>
            <w:r w:rsidRPr="002D5FB2">
              <w:t>У разі якщо умови договору не містять обсягу закупівлі або назви товару або відомостей про відповідність товару вимогам  ДСТУ 8853:2019 або EN 16811-1:2016, або зазначені відомості не відповідають вимогам тендерної документації, учасники додатково повинні надати лист-гарантію що запропонований ними товар  відповідність   вимогам  ДСТУ 8853:2019 або EN 16811-1:2016.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</w:tabs>
              <w:ind w:left="-567" w:firstLine="567"/>
              <w:jc w:val="both"/>
            </w:pPr>
            <w:r w:rsidRPr="002D5FB2">
              <w:t xml:space="preserve">Якість послуг, які надаватиме Учасник повинні </w:t>
            </w:r>
            <w:r w:rsidRPr="002D5FB2">
              <w:lastRenderedPageBreak/>
              <w:t>відповідати: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-567" w:firstLine="567"/>
              <w:jc w:val="both"/>
            </w:pPr>
            <w:r w:rsidRPr="002D5FB2">
              <w:t xml:space="preserve"> ДСТУ ISO 14001:2015 (ISO 14001:2015, IDT) Системи екологічного управління. Вимоги та настанови щодо застосування, що підтверджується наданням у складі тендерної пропозиції Учасника Сертифікату ДСТУ ISO 14001:2015 (ISO 14001:2015, IDT) Системи екологічного управління, є чинним на момент надання послуг та виданий на </w:t>
            </w:r>
            <w:proofErr w:type="spellStart"/>
            <w:r w:rsidRPr="002D5FB2">
              <w:t>ім′я</w:t>
            </w:r>
            <w:proofErr w:type="spellEnd"/>
            <w:r w:rsidRPr="002D5FB2">
              <w:t xml:space="preserve"> Учасника;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-567" w:firstLine="567"/>
              <w:jc w:val="both"/>
            </w:pPr>
            <w:r w:rsidRPr="002D5FB2">
              <w:rPr>
                <w:bCs/>
              </w:rPr>
              <w:t xml:space="preserve">ДСТУ 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9001:2018 (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9001:2015, </w:t>
            </w:r>
            <w:r w:rsidRPr="002D5FB2">
              <w:rPr>
                <w:bCs/>
                <w:lang w:val="en-US"/>
              </w:rPr>
              <w:t>IDT</w:t>
            </w:r>
            <w:r w:rsidRPr="002D5FB2">
              <w:rPr>
                <w:bCs/>
              </w:rPr>
              <w:t>) Система управління якістю.</w:t>
            </w:r>
            <w:r w:rsidRPr="002D5FB2">
              <w:t xml:space="preserve"> Вимоги та настанови щодо застосування, що підтверджується наданням у складі тендерної пропозиції Учасника Сертифікату</w:t>
            </w:r>
            <w:r w:rsidRPr="002D5FB2">
              <w:rPr>
                <w:bCs/>
              </w:rPr>
              <w:t xml:space="preserve"> ДСТУ 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9001:2018 (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9001:2015, </w:t>
            </w:r>
            <w:r w:rsidRPr="002D5FB2">
              <w:rPr>
                <w:bCs/>
                <w:lang w:val="en-US"/>
              </w:rPr>
              <w:t>IDT</w:t>
            </w:r>
            <w:r w:rsidRPr="002D5FB2">
              <w:rPr>
                <w:bCs/>
              </w:rPr>
              <w:t>) Система управління якістю,</w:t>
            </w:r>
            <w:r w:rsidRPr="002D5FB2">
              <w:t xml:space="preserve"> який є чинним на момент надання послуг та виданий на </w:t>
            </w:r>
            <w:proofErr w:type="spellStart"/>
            <w:r w:rsidRPr="002D5FB2">
              <w:t>ім′я</w:t>
            </w:r>
            <w:proofErr w:type="spellEnd"/>
            <w:r w:rsidRPr="002D5FB2">
              <w:t xml:space="preserve"> Учасника;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-567" w:firstLine="567"/>
              <w:jc w:val="both"/>
            </w:pPr>
            <w:r w:rsidRPr="002D5FB2">
              <w:rPr>
                <w:bCs/>
              </w:rPr>
              <w:t xml:space="preserve">ДСТУ 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45001:2019 (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45001:2018, </w:t>
            </w:r>
            <w:r w:rsidRPr="002D5FB2">
              <w:rPr>
                <w:bCs/>
                <w:lang w:val="en-US"/>
              </w:rPr>
              <w:t>IDT</w:t>
            </w:r>
            <w:r w:rsidRPr="002D5FB2">
              <w:rPr>
                <w:bCs/>
              </w:rPr>
              <w:t>) Система управління охороною здоров’я та безпекою праці.</w:t>
            </w:r>
            <w:r w:rsidRPr="002D5FB2">
              <w:t xml:space="preserve"> Вимоги та настанови щодо застосування, що підтверджується наданням у складі тендерної пропозиції Учасника Сертифікату</w:t>
            </w:r>
            <w:r w:rsidRPr="002D5FB2">
              <w:rPr>
                <w:bCs/>
              </w:rPr>
              <w:t xml:space="preserve"> ДСТУ 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45001:2019 (</w:t>
            </w:r>
            <w:r w:rsidRPr="002D5FB2">
              <w:rPr>
                <w:bCs/>
                <w:lang w:val="en-US"/>
              </w:rPr>
              <w:t>ISO</w:t>
            </w:r>
            <w:r w:rsidRPr="002D5FB2">
              <w:rPr>
                <w:bCs/>
              </w:rPr>
              <w:t xml:space="preserve"> 45001:2018, </w:t>
            </w:r>
            <w:r w:rsidRPr="002D5FB2">
              <w:rPr>
                <w:bCs/>
                <w:lang w:val="en-US"/>
              </w:rPr>
              <w:t>IDT</w:t>
            </w:r>
            <w:r w:rsidRPr="002D5FB2">
              <w:rPr>
                <w:bCs/>
              </w:rPr>
              <w:t>) Система управління охороною здоров’я та безпекою праці,</w:t>
            </w:r>
            <w:r w:rsidRPr="002D5FB2">
              <w:t xml:space="preserve"> який є чинним на момент надання послуг та виданий на </w:t>
            </w:r>
            <w:proofErr w:type="spellStart"/>
            <w:r w:rsidRPr="002D5FB2">
              <w:t>ім′я</w:t>
            </w:r>
            <w:proofErr w:type="spellEnd"/>
            <w:r w:rsidRPr="002D5FB2">
              <w:t xml:space="preserve"> Учасника;</w:t>
            </w:r>
          </w:p>
          <w:p w:rsidR="00F54B35" w:rsidRPr="002D5FB2" w:rsidRDefault="00F54B35" w:rsidP="00F54B35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-567" w:firstLine="567"/>
              <w:jc w:val="both"/>
            </w:pPr>
            <w:r w:rsidRPr="002D5FB2">
              <w:t xml:space="preserve">Для підтвердження факту впровадження систем  </w:t>
            </w:r>
            <w:r w:rsidRPr="002D5FB2">
              <w:rPr>
                <w:lang w:val="en-US"/>
              </w:rPr>
              <w:t>ISO</w:t>
            </w:r>
            <w:r w:rsidRPr="002D5FB2">
              <w:t xml:space="preserve"> на підприємстві Учасника, він повинен додати у тендерну пропозицію звіт про походження сертифікаційного та інших  необхідних аудитів, що передбачені сертифікаційною  угодою  з органом по сертифікації. </w:t>
            </w:r>
          </w:p>
          <w:p w:rsidR="00F54B35" w:rsidRPr="002D5FB2" w:rsidRDefault="00F54B35" w:rsidP="00F54B35">
            <w:pPr>
              <w:ind w:left="5660" w:firstLine="700"/>
              <w:jc w:val="right"/>
              <w:rPr>
                <w:i/>
                <w:color w:val="000000" w:themeColor="text1"/>
              </w:rPr>
            </w:pPr>
          </w:p>
          <w:p w:rsidR="0098070B" w:rsidRPr="004C109E" w:rsidRDefault="0098070B" w:rsidP="00F54B35">
            <w:pPr>
              <w:pStyle w:val="a4"/>
              <w:spacing w:after="160" w:line="25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0B" w:rsidRPr="004C109E" w:rsidRDefault="00F54B35" w:rsidP="0098070B">
            <w:pPr>
              <w:tabs>
                <w:tab w:val="left" w:pos="567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відсутні</w:t>
            </w:r>
          </w:p>
          <w:p w:rsidR="0098070B" w:rsidRPr="004C109E" w:rsidRDefault="0098070B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6AD2" w:rsidRDefault="002A6AD2" w:rsidP="002A6AD2">
      <w:pPr>
        <w:jc w:val="both"/>
        <w:rPr>
          <w:sz w:val="24"/>
          <w:szCs w:val="24"/>
        </w:rPr>
      </w:pPr>
    </w:p>
    <w:p w:rsidR="002A6AD2" w:rsidRPr="002A6AD2" w:rsidRDefault="002A6AD2" w:rsidP="002A6AD2">
      <w:pPr>
        <w:jc w:val="both"/>
        <w:rPr>
          <w:sz w:val="24"/>
          <w:szCs w:val="24"/>
        </w:rPr>
      </w:pPr>
      <w:r w:rsidRPr="002A6AD2">
        <w:rPr>
          <w:sz w:val="24"/>
          <w:szCs w:val="24"/>
        </w:rPr>
        <w:t>Уповноважена особа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Начальник відділу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постачання та матеріального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 xml:space="preserve">забезпечення </w:t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  <w:t xml:space="preserve">Володимир АНДРЕЄВ </w:t>
      </w:r>
    </w:p>
    <w:p w:rsidR="002A6AD2" w:rsidRDefault="002A6AD2">
      <w:pPr>
        <w:rPr>
          <w:sz w:val="24"/>
          <w:szCs w:val="24"/>
        </w:rPr>
      </w:pPr>
    </w:p>
    <w:p w:rsidR="002A6AD2" w:rsidRDefault="002A6AD2">
      <w:pPr>
        <w:rPr>
          <w:sz w:val="24"/>
          <w:szCs w:val="24"/>
        </w:rPr>
      </w:pPr>
    </w:p>
    <w:p w:rsidR="002A6AD2" w:rsidRPr="002A6AD2" w:rsidRDefault="002A6AD2">
      <w:pPr>
        <w:rPr>
          <w:sz w:val="24"/>
          <w:szCs w:val="24"/>
        </w:rPr>
      </w:pPr>
    </w:p>
    <w:p w:rsidR="00193422" w:rsidRPr="002A6AD2" w:rsidRDefault="002A6AD2">
      <w:pPr>
        <w:rPr>
          <w:sz w:val="24"/>
          <w:szCs w:val="24"/>
        </w:rPr>
      </w:pPr>
      <w:r w:rsidRPr="002A6AD2">
        <w:rPr>
          <w:sz w:val="24"/>
          <w:szCs w:val="24"/>
        </w:rPr>
        <w:t xml:space="preserve">Погоджено 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Перший заступник директора</w:t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>Олександр ГОРБАЧ</w:t>
      </w:r>
    </w:p>
    <w:p w:rsidR="002A6AD2" w:rsidRPr="002A6AD2" w:rsidRDefault="002A6AD2">
      <w:pPr>
        <w:rPr>
          <w:sz w:val="24"/>
          <w:szCs w:val="24"/>
        </w:rPr>
      </w:pPr>
    </w:p>
    <w:p w:rsidR="002A6AD2" w:rsidRPr="002A6AD2" w:rsidRDefault="002A6AD2">
      <w:pPr>
        <w:rPr>
          <w:sz w:val="24"/>
          <w:szCs w:val="24"/>
        </w:rPr>
      </w:pPr>
    </w:p>
    <w:sectPr w:rsidR="002A6AD2" w:rsidRPr="002A6AD2" w:rsidSect="00F54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DA2"/>
    <w:multiLevelType w:val="hybridMultilevel"/>
    <w:tmpl w:val="B79A3488"/>
    <w:lvl w:ilvl="0" w:tplc="A394F1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CA604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87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AF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9A0"/>
    <w:multiLevelType w:val="multilevel"/>
    <w:tmpl w:val="B79C7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71601"/>
    <w:multiLevelType w:val="multilevel"/>
    <w:tmpl w:val="A650C1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94977"/>
    <w:rsid w:val="00193422"/>
    <w:rsid w:val="002A6AD2"/>
    <w:rsid w:val="00354A71"/>
    <w:rsid w:val="003D206E"/>
    <w:rsid w:val="00421957"/>
    <w:rsid w:val="00446A8D"/>
    <w:rsid w:val="004C109E"/>
    <w:rsid w:val="00617556"/>
    <w:rsid w:val="006372AD"/>
    <w:rsid w:val="006B6C02"/>
    <w:rsid w:val="006E773C"/>
    <w:rsid w:val="00895DBD"/>
    <w:rsid w:val="008A0BC6"/>
    <w:rsid w:val="009125F8"/>
    <w:rsid w:val="00961627"/>
    <w:rsid w:val="00970466"/>
    <w:rsid w:val="0098070B"/>
    <w:rsid w:val="009B46F4"/>
    <w:rsid w:val="00A134B1"/>
    <w:rsid w:val="00AA3775"/>
    <w:rsid w:val="00AB0D99"/>
    <w:rsid w:val="00AB4231"/>
    <w:rsid w:val="00BF1BA0"/>
    <w:rsid w:val="00E50EB8"/>
    <w:rsid w:val="00E87016"/>
    <w:rsid w:val="00E94977"/>
    <w:rsid w:val="00F54B35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,Абзац списку 1,тв-Абзац списка,заголовок 1.1,List_Paragraph,Multilevel para_II,List Paragraph1"/>
    <w:basedOn w:val="a"/>
    <w:link w:val="a5"/>
    <w:uiPriority w:val="34"/>
    <w:qFormat/>
    <w:rsid w:val="00970466"/>
    <w:pPr>
      <w:ind w:left="720"/>
      <w:contextualSpacing/>
    </w:p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,Абзац списку 1 Знак,тв-Абзац списка Знак"/>
    <w:link w:val="a4"/>
    <w:uiPriority w:val="34"/>
    <w:rsid w:val="0098070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Title"/>
    <w:basedOn w:val="a"/>
    <w:next w:val="a"/>
    <w:link w:val="a7"/>
    <w:uiPriority w:val="10"/>
    <w:qFormat/>
    <w:rsid w:val="0098070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98070B"/>
    <w:rPr>
      <w:rFonts w:ascii="Calibri" w:eastAsia="Calibri" w:hAnsi="Calibri" w:cs="Calibri"/>
      <w:b/>
      <w:sz w:val="72"/>
      <w:szCs w:val="7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096E-1192-4822-BB7E-FA3EE323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2</cp:revision>
  <cp:lastPrinted>2023-11-29T08:53:00Z</cp:lastPrinted>
  <dcterms:created xsi:type="dcterms:W3CDTF">2023-11-29T08:54:00Z</dcterms:created>
  <dcterms:modified xsi:type="dcterms:W3CDTF">2023-11-29T08:54:00Z</dcterms:modified>
</cp:coreProperties>
</file>