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t xml:space="preserve">КОМУНАЛЬНЕ НЕКОМЕРЦІЙНЕ ПІДПРИЄМСТВО </w:t>
      </w:r>
    </w:p>
    <w:p>
      <w:pPr>
        <w:pStyle w:val="Normal"/>
        <w:shd w:val="clear" w:color="auto" w:fill="FFFFFF"/>
        <w:jc w:val="center"/>
        <w:rPr>
          <w:b/>
          <w:b/>
        </w:rPr>
      </w:pPr>
      <w:r>
        <w:rPr>
          <w:b/>
        </w:rPr>
        <w:t xml:space="preserve">"ЦЕНТР ПЕРВИННОЇ МЕДИКО-САНІТАРНОЇ ДОПОМОГИ № 2" </w:t>
      </w:r>
    </w:p>
    <w:p>
      <w:pPr>
        <w:pStyle w:val="Normal"/>
        <w:shd w:val="clear" w:color="auto" w:fill="FFFFFF"/>
        <w:jc w:val="center"/>
        <w:rPr>
          <w:b/>
          <w:b/>
        </w:rPr>
      </w:pPr>
      <w:r>
        <w:rPr>
          <w:b/>
        </w:rPr>
        <w:t>ОДЕСЬКОЇ МІСЬКОЇ РАДИ</w:t>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ind w:left="4957" w:right="-30" w:firstLine="707"/>
        <w:jc w:val="both"/>
        <w:rPr>
          <w:spacing w:val="3"/>
        </w:rPr>
      </w:pPr>
      <w:r>
        <w:rPr>
          <w:spacing w:val="3"/>
        </w:rPr>
        <w:t>Затверджено:</w:t>
      </w:r>
    </w:p>
    <w:p>
      <w:pPr>
        <w:pStyle w:val="Normal"/>
        <w:shd w:val="clear" w:color="auto" w:fill="FFFFFF"/>
        <w:ind w:left="4957" w:right="-30" w:firstLine="707"/>
        <w:jc w:val="both"/>
        <w:rPr>
          <w:spacing w:val="3"/>
        </w:rPr>
      </w:pPr>
      <w:r>
        <w:rPr>
          <w:spacing w:val="3"/>
        </w:rPr>
        <w:t xml:space="preserve">рішенням уповноваженої особи </w:t>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shd w:val="clear" w:color="auto" w:fill="FFFFFF"/>
        <w:jc w:val="center"/>
        <w:rPr>
          <w:b/>
          <w:b/>
        </w:rPr>
      </w:pPr>
      <w:r>
        <w:rPr>
          <w:b/>
        </w:rPr>
      </w:r>
    </w:p>
    <w:p>
      <w:pPr>
        <w:pStyle w:val="Normal"/>
        <w:jc w:val="center"/>
        <w:rPr>
          <w:b/>
          <w:b/>
          <w:bCs/>
          <w:sz w:val="28"/>
          <w:szCs w:val="28"/>
        </w:rPr>
      </w:pPr>
      <w:r>
        <w:rPr>
          <w:b/>
          <w:bCs/>
          <w:sz w:val="28"/>
          <w:szCs w:val="28"/>
        </w:rPr>
        <w:t>ДОКУМЕНТАЦІЯ</w:t>
      </w:r>
    </w:p>
    <w:p>
      <w:pPr>
        <w:pStyle w:val="Normal"/>
        <w:jc w:val="center"/>
        <w:rPr>
          <w:b/>
          <w:b/>
          <w:bCs/>
          <w:sz w:val="28"/>
          <w:szCs w:val="28"/>
          <w:highlight w:val="none"/>
          <w:shd w:fill="FFFFFF" w:val="clear"/>
        </w:rPr>
      </w:pPr>
      <w:r>
        <w:rPr>
          <w:b/>
          <w:bCs/>
          <w:sz w:val="28"/>
          <w:szCs w:val="28"/>
          <w:shd w:fill="FFFFFF" w:val="clear"/>
        </w:rPr>
      </w:r>
    </w:p>
    <w:p>
      <w:pPr>
        <w:pStyle w:val="Normal"/>
        <w:jc w:val="center"/>
        <w:rPr>
          <w:highlight w:val="none"/>
          <w:shd w:fill="FFFFFF" w:val="clear"/>
        </w:rPr>
      </w:pPr>
      <w:r>
        <w:rPr>
          <w:b/>
          <w:bCs/>
          <w:sz w:val="28"/>
          <w:szCs w:val="28"/>
          <w:shd w:fill="FFFFFF" w:val="clear"/>
        </w:rPr>
        <w:t>до оголошення про проведення спрощеної закупівлі:</w:t>
      </w:r>
    </w:p>
    <w:p>
      <w:pPr>
        <w:pStyle w:val="Normal"/>
        <w:jc w:val="center"/>
        <w:rPr>
          <w:b/>
          <w:b/>
          <w:bCs/>
          <w:sz w:val="28"/>
          <w:szCs w:val="28"/>
          <w:highlight w:val="none"/>
          <w:shd w:fill="FFFFFF" w:val="clear"/>
        </w:rPr>
      </w:pPr>
      <w:r>
        <w:rPr>
          <w:b/>
          <w:bCs/>
          <w:sz w:val="28"/>
          <w:szCs w:val="28"/>
          <w:shd w:fill="FFFFFF" w:val="clear"/>
        </w:rPr>
      </w:r>
    </w:p>
    <w:p>
      <w:pPr>
        <w:pStyle w:val="Normal"/>
        <w:jc w:val="center"/>
        <w:rPr>
          <w:highlight w:val="none"/>
          <w:shd w:fill="FFFFFF" w:val="clear"/>
        </w:rPr>
      </w:pPr>
      <w:bookmarkStart w:id="0" w:name="_Hlk45092300"/>
      <w:r>
        <w:rPr>
          <w:b/>
          <w:bCs/>
          <w:shd w:fill="FFFFFF" w:val="clear"/>
        </w:rPr>
        <w:t xml:space="preserve">Код за ДК 021:2015: 33600000-6: Фармацевтична продукція </w:t>
      </w:r>
      <w:bookmarkEnd w:id="0"/>
    </w:p>
    <w:p>
      <w:pPr>
        <w:pStyle w:val="Normal"/>
        <w:jc w:val="center"/>
        <w:rPr>
          <w:b/>
          <w:b/>
          <w:highlight w:val="none"/>
          <w:shd w:fill="FFFFFF" w:val="clear"/>
        </w:rPr>
      </w:pPr>
      <w:r>
        <w:rPr>
          <w:b/>
          <w:shd w:fill="FFFFFF" w:val="clear"/>
        </w:rPr>
      </w:r>
    </w:p>
    <w:p>
      <w:pPr>
        <w:pStyle w:val="Normal"/>
        <w:rPr>
          <w:highlight w:val="none"/>
          <w:shd w:fill="FFFFFF" w:val="clear"/>
        </w:rPr>
      </w:pPr>
      <w:r>
        <w:rPr>
          <w:shd w:fill="FFFFFF" w:val="clear"/>
        </w:rPr>
        <w:t>(</w:t>
      </w:r>
      <w:r>
        <w:rPr>
          <w:shd w:fill="FFFFFF" w:val="clear"/>
          <w:lang w:val="en-US"/>
        </w:rPr>
        <w:t>Ammonia</w:t>
      </w:r>
      <w:r>
        <w:rPr>
          <w:shd w:fill="FFFFFF" w:val="clear"/>
        </w:rPr>
        <w:t xml:space="preserve"> ; </w:t>
      </w:r>
      <w:r>
        <w:rPr>
          <w:shd w:fill="FFFFFF" w:val="clear"/>
          <w:lang w:val="en-US"/>
        </w:rPr>
        <w:t>Metamizole sodium</w:t>
      </w:r>
      <w:r>
        <w:rPr>
          <w:shd w:fill="FFFFFF" w:val="clear"/>
        </w:rPr>
        <w:t xml:space="preserve">; </w:t>
      </w:r>
      <w:r>
        <w:rPr>
          <w:shd w:fill="FFFFFF" w:val="clear"/>
          <w:lang w:val="en-US"/>
        </w:rPr>
        <w:t>Glucose</w:t>
      </w:r>
      <w:r>
        <w:rPr>
          <w:shd w:fill="FFFFFF" w:val="clear"/>
        </w:rPr>
        <w:t xml:space="preserve">; </w:t>
      </w:r>
      <w:r>
        <w:rPr>
          <w:shd w:fill="FFFFFF" w:val="clear"/>
          <w:lang w:val="en-US"/>
        </w:rPr>
        <w:t>Diclofenac</w:t>
      </w:r>
      <w:r>
        <w:rPr>
          <w:shd w:fill="FFFFFF" w:val="clear"/>
        </w:rPr>
        <w:t>;</w:t>
      </w:r>
      <w:r>
        <w:rPr>
          <w:shd w:fill="FFFFFF" w:val="clear"/>
          <w:lang w:val="en-US"/>
        </w:rPr>
        <w:t>Drotaverine</w:t>
      </w:r>
      <w:r>
        <w:rPr>
          <w:shd w:fill="FFFFFF" w:val="clear"/>
        </w:rPr>
        <w:t xml:space="preserve">; </w:t>
      </w:r>
      <w:r>
        <w:rPr>
          <w:shd w:fill="FFFFFF" w:val="clear"/>
          <w:lang w:val="en-US"/>
        </w:rPr>
        <w:t>Theophylline</w:t>
      </w:r>
      <w:r>
        <w:rPr>
          <w:shd w:fill="FFFFFF" w:val="clear"/>
        </w:rPr>
        <w:t xml:space="preserve">; </w:t>
      </w:r>
      <w:r>
        <w:rPr>
          <w:shd w:fill="FFFFFF" w:val="clear"/>
          <w:lang w:val="en-US"/>
        </w:rPr>
        <w:t>Captopril</w:t>
      </w:r>
      <w:r>
        <w:rPr>
          <w:shd w:fill="FFFFFF" w:val="clear"/>
        </w:rPr>
        <w:t xml:space="preserve">; </w:t>
      </w:r>
      <w:r>
        <w:rPr>
          <w:shd w:fill="FFFFFF" w:val="clear"/>
          <w:lang w:val="en-US"/>
        </w:rPr>
        <w:t>Levofloxacin</w:t>
      </w:r>
      <w:r>
        <w:rPr>
          <w:shd w:fill="FFFFFF" w:val="clear"/>
        </w:rPr>
        <w:t>;</w:t>
      </w:r>
    </w:p>
    <w:p>
      <w:pPr>
        <w:pStyle w:val="Normal"/>
        <w:rPr>
          <w:highlight w:val="none"/>
          <w:shd w:fill="FFFFFF" w:val="clear"/>
        </w:rPr>
      </w:pPr>
      <w:r>
        <w:rPr>
          <w:color w:val="000000"/>
          <w:shd w:fill="FFFFFF" w:val="clear"/>
          <w:lang w:val="en-US"/>
        </w:rPr>
        <w:t>Loratadine</w:t>
      </w:r>
      <w:r>
        <w:rPr>
          <w:color w:val="000000"/>
          <w:shd w:fill="FFFFFF" w:val="clear"/>
        </w:rPr>
        <w:t xml:space="preserve">; </w:t>
      </w:r>
      <w:r>
        <w:rPr>
          <w:shd w:fill="FFFFFF" w:val="clear"/>
          <w:lang w:val="en-US"/>
        </w:rPr>
        <w:t>Phenylephrine</w:t>
      </w:r>
      <w:r>
        <w:rPr>
          <w:shd w:fill="FFFFFF" w:val="clear"/>
        </w:rPr>
        <w:t xml:space="preserve">; </w:t>
      </w:r>
      <w:r>
        <w:rPr>
          <w:shd w:fill="FFFFFF" w:val="clear"/>
          <w:lang w:val="en-US"/>
        </w:rPr>
        <w:t>Glyceryl trinitrate</w:t>
      </w:r>
      <w:r>
        <w:rPr>
          <w:shd w:fill="FFFFFF" w:val="clear"/>
        </w:rPr>
        <w:t xml:space="preserve">; </w:t>
      </w:r>
      <w:r>
        <w:rPr>
          <w:shd w:fill="FFFFFF" w:val="clear"/>
          <w:lang w:val="en-US"/>
        </w:rPr>
        <w:t>Prednisolone</w:t>
      </w:r>
      <w:r>
        <w:rPr>
          <w:shd w:fill="FFFFFF" w:val="clear"/>
        </w:rPr>
        <w:t xml:space="preserve">; </w:t>
      </w:r>
      <w:r>
        <w:rPr>
          <w:shd w:fill="FFFFFF" w:val="clear"/>
          <w:lang w:val="en-US"/>
        </w:rPr>
        <w:t>Prednisolone</w:t>
      </w:r>
      <w:r>
        <w:rPr>
          <w:shd w:fill="FFFFFF" w:val="clear"/>
        </w:rPr>
        <w:t>;</w:t>
      </w:r>
      <w:r>
        <w:rPr>
          <w:shd w:fill="FFFFFF" w:val="clear"/>
          <w:lang w:val="en-US"/>
        </w:rPr>
        <w:t>Nifedipine</w:t>
      </w:r>
      <w:r>
        <w:rPr>
          <w:shd w:fill="FFFFFF" w:val="clear"/>
        </w:rPr>
        <w:t xml:space="preserve">; </w:t>
      </w:r>
      <w:r>
        <w:rPr>
          <w:shd w:fill="FFFFFF" w:val="clear"/>
          <w:lang w:val="en-US"/>
        </w:rPr>
        <w:t>Chlorhexidine</w:t>
      </w:r>
      <w:r>
        <w:rPr>
          <w:shd w:fill="FFFFFF" w:val="clear"/>
        </w:rPr>
        <w:t>)</w:t>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jc w:val="center"/>
        <w:rPr>
          <w:b/>
          <w:b/>
          <w:highlight w:val="none"/>
          <w:shd w:fill="FFFFFF" w:val="clear"/>
        </w:rPr>
      </w:pPr>
      <w:r>
        <w:rPr>
          <w:b/>
          <w:shd w:fill="FFFFFF" w:val="clear"/>
        </w:rPr>
      </w:r>
    </w:p>
    <w:p>
      <w:pPr>
        <w:pStyle w:val="Normal"/>
        <w:shd w:val="clear" w:color="auto" w:fill="FFFFFF"/>
        <w:tabs>
          <w:tab w:val="clear" w:pos="720"/>
          <w:tab w:val="center" w:pos="4904" w:leader="none"/>
          <w:tab w:val="right" w:pos="9808" w:leader="none"/>
        </w:tabs>
        <w:jc w:val="center"/>
        <w:rPr>
          <w:b/>
          <w:b/>
          <w:highlight w:val="none"/>
          <w:shd w:fill="FFFFFF" w:val="clear"/>
        </w:rPr>
      </w:pPr>
      <w:r>
        <w:rPr>
          <w:b/>
          <w:shd w:fill="FFFFFF" w:val="clear"/>
        </w:rPr>
      </w:r>
    </w:p>
    <w:p>
      <w:pPr>
        <w:pStyle w:val="Normal"/>
        <w:shd w:val="clear" w:color="auto" w:fill="FFFFFF"/>
        <w:tabs>
          <w:tab w:val="clear" w:pos="720"/>
          <w:tab w:val="center" w:pos="4904" w:leader="none"/>
          <w:tab w:val="right" w:pos="9808" w:leader="none"/>
        </w:tabs>
        <w:jc w:val="center"/>
        <w:rPr>
          <w:highlight w:val="none"/>
          <w:shd w:fill="FFFFFF" w:val="clear"/>
        </w:rPr>
      </w:pPr>
      <w:r>
        <w:rPr>
          <w:b/>
          <w:bCs/>
          <w:color w:val="000000"/>
          <w:sz w:val="28"/>
          <w:szCs w:val="28"/>
          <w:shd w:fill="FFFFFF" w:val="clear"/>
        </w:rPr>
        <w:t xml:space="preserve">м. Одеса </w:t>
      </w:r>
      <w:r>
        <w:rPr>
          <w:b/>
          <w:sz w:val="28"/>
          <w:szCs w:val="28"/>
          <w:shd w:fill="FFFFFF" w:val="clear"/>
        </w:rPr>
        <w:t>2022 рік</w:t>
      </w:r>
      <w:r>
        <w:br w:type="page"/>
      </w:r>
    </w:p>
    <w:tbl>
      <w:tblPr>
        <w:tblW w:w="10032" w:type="dxa"/>
        <w:jc w:val="center"/>
        <w:tblInd w:w="0" w:type="dxa"/>
        <w:tblLayout w:type="fixed"/>
        <w:tblCellMar>
          <w:top w:w="0" w:type="dxa"/>
          <w:left w:w="108" w:type="dxa"/>
          <w:bottom w:w="0" w:type="dxa"/>
          <w:right w:w="108" w:type="dxa"/>
        </w:tblCellMar>
        <w:tblLook w:val="0000"/>
      </w:tblPr>
      <w:tblGrid>
        <w:gridCol w:w="569"/>
        <w:gridCol w:w="2797"/>
        <w:gridCol w:w="6666"/>
      </w:tblGrid>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hd w:val="clear" w:color="auto" w:fill="FFFFFF"/>
              <w:jc w:val="center"/>
              <w:rPr>
                <w:highlight w:val="none"/>
                <w:shd w:fill="FFFFFF" w:val="clear"/>
              </w:rPr>
            </w:pPr>
            <w:r>
              <w:rPr>
                <w:b/>
                <w:shd w:fill="FFFFFF" w:val="clear"/>
              </w:rPr>
              <w:t>№</w:t>
            </w:r>
          </w:p>
        </w:tc>
        <w:tc>
          <w:tcPr>
            <w:tcW w:w="946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left="-158" w:hanging="0"/>
              <w:jc w:val="center"/>
              <w:rPr>
                <w:b/>
                <w:b/>
                <w:highlight w:val="none"/>
                <w:shd w:fill="FFFFFF" w:val="clear"/>
              </w:rPr>
            </w:pPr>
            <w:r>
              <w:rPr>
                <w:b/>
                <w:shd w:fill="FFFFFF" w:val="clear"/>
              </w:rPr>
              <w:t>I. Загальні положення</w:t>
            </w:r>
          </w:p>
        </w:tc>
      </w:tr>
      <w:tr>
        <w:trPr>
          <w:trHeight w:val="739"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Терміни, які вживаються в документації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pPr>
            <w:r>
              <w:rPr>
                <w:shd w:fill="FFFFFF" w:val="clear"/>
              </w:rPr>
              <w:t xml:space="preserve">Документацію розроблено відповідно до вимог </w:t>
            </w:r>
            <w:hyperlink r:id="rId2">
              <w:r>
                <w:rPr>
                  <w:color w:val="0000FF"/>
                  <w:u w:val="single"/>
                  <w:shd w:fill="FFFFFF" w:val="clear"/>
                </w:rPr>
                <w:t>Закону України «Про публічні закупівлі»</w:t>
              </w:r>
            </w:hyperlink>
            <w:r>
              <w:rPr>
                <w:shd w:fill="FFFFFF" w:val="clear"/>
              </w:rPr>
              <w:t xml:space="preserve"> (далі - Закон).</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Інформація про замовника торгів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r>
          </w:p>
        </w:tc>
      </w:tr>
      <w:tr>
        <w:trPr>
          <w:trHeight w:val="309"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2.1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повне найменування</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color w:val="000000"/>
                <w:highlight w:val="none"/>
                <w:shd w:fill="FFFFFF" w:val="clear"/>
              </w:rPr>
            </w:pPr>
            <w:r>
              <w:rPr>
                <w:b/>
                <w:color w:val="000000"/>
                <w:sz w:val="22"/>
                <w:shd w:fill="FFFFFF" w:val="clear"/>
              </w:rPr>
              <w:t>КОМУНАЛЬНЕ НЕКОМЕРЦІЙНЕ ПІДПРИЄМСТВО "ЦЕНТР ПЕРВИННОЇ МЕДИКО-САНІТАРНОЇ ДОПОМОГИ № 2" ОДЕСЬКОЇ МІСЬКОЇ РАДИ</w:t>
            </w:r>
          </w:p>
        </w:tc>
      </w:tr>
      <w:tr>
        <w:trPr>
          <w:trHeight w:val="31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2.2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місцезнаходження</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13"/>
              <w:jc w:val="both"/>
              <w:rPr>
                <w:highlight w:val="none"/>
                <w:shd w:fill="FFFFFF" w:val="clear"/>
              </w:rPr>
            </w:pPr>
            <w:r>
              <w:rPr>
                <w:sz w:val="22"/>
                <w:shd w:fill="FFFFFF" w:val="clear"/>
              </w:rPr>
              <w:t>65014 Україна Одеська область місто Одеса пров. Обсерваторний, 8</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2.3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highlight w:val="none"/>
                <w:shd w:fill="FFFFFF" w:val="clear"/>
              </w:rPr>
            </w:pPr>
            <w:r>
              <w:rPr>
                <w:b/>
                <w:shd w:fill="FFFFFF" w:val="clear"/>
              </w:rPr>
              <w:t>Відповідальний за проведення  процедури закупівлі:</w:t>
            </w:r>
          </w:p>
          <w:p>
            <w:pPr>
              <w:pStyle w:val="Normal"/>
              <w:widowControl w:val="false"/>
              <w:rPr>
                <w:highlight w:val="none"/>
                <w:shd w:fill="FFFFFF" w:val="clear"/>
              </w:rPr>
            </w:pPr>
            <w:r>
              <w:rPr>
                <w:sz w:val="22"/>
                <w:shd w:fill="FFFFFF" w:val="clear"/>
              </w:rPr>
              <w:t xml:space="preserve">ПІБ: </w:t>
            </w:r>
            <w:r>
              <w:rPr>
                <w:color w:val="000000"/>
                <w:shd w:fill="FFFFFF" w:val="clear"/>
              </w:rPr>
              <w:t>Ганєва Маріанна Іванівна</w:t>
            </w:r>
          </w:p>
          <w:p>
            <w:pPr>
              <w:pStyle w:val="Normal"/>
              <w:widowControl w:val="false"/>
              <w:rPr>
                <w:highlight w:val="none"/>
                <w:shd w:fill="FFFFFF" w:val="clear"/>
              </w:rPr>
            </w:pPr>
            <w:r>
              <w:rPr>
                <w:shd w:fill="FFFFFF" w:val="clear"/>
              </w:rPr>
              <w:t xml:space="preserve">посада: </w:t>
            </w:r>
            <w:r>
              <w:rPr>
                <w:sz w:val="22"/>
                <w:shd w:fill="FFFFFF" w:val="clear"/>
              </w:rPr>
              <w:t>Заступник директора з економічних питань</w:t>
            </w:r>
          </w:p>
          <w:p>
            <w:pPr>
              <w:pStyle w:val="Normal"/>
              <w:widowControl w:val="false"/>
              <w:rPr/>
            </w:pPr>
            <w:r>
              <w:rPr>
                <w:sz w:val="22"/>
                <w:shd w:fill="FFFFFF" w:val="clear"/>
              </w:rPr>
              <w:t xml:space="preserve">електронна адреса: </w:t>
            </w:r>
            <w:hyperlink r:id="rId3">
              <w:r>
                <w:rPr>
                  <w:shd w:fill="FFFFFF" w:val="clear"/>
                </w:rPr>
                <w:t>marinaganeva@ukr.net</w:t>
              </w:r>
            </w:hyperlink>
          </w:p>
          <w:p>
            <w:pPr>
              <w:pStyle w:val="Normal"/>
              <w:widowControl w:val="false"/>
              <w:rPr>
                <w:b/>
                <w:b/>
                <w:highlight w:val="none"/>
                <w:shd w:fill="FFFFFF" w:val="clear"/>
              </w:rPr>
            </w:pPr>
            <w:r>
              <w:rPr>
                <w:b/>
                <w:shd w:fill="FFFFFF" w:val="clear"/>
              </w:rPr>
            </w:r>
          </w:p>
        </w:tc>
      </w:tr>
      <w:tr>
        <w:trPr>
          <w:trHeight w:val="36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Вид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highlight w:val="none"/>
                <w:shd w:fill="FFFFFF" w:val="clear"/>
              </w:rPr>
            </w:pPr>
            <w:r>
              <w:rPr>
                <w:b/>
                <w:shd w:fill="FFFFFF" w:val="clear"/>
              </w:rPr>
              <w:t>Спрощена закупівля</w:t>
            </w:r>
          </w:p>
        </w:tc>
      </w:tr>
      <w:tr>
        <w:trPr>
          <w:trHeight w:val="367"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lang w:val="ru-RU"/>
              </w:rPr>
            </w:pPr>
            <w:r>
              <w:rPr>
                <w:shd w:fill="FFFFFF" w:val="clear"/>
                <w:lang w:val="ru-RU"/>
              </w:rPr>
              <w:t>3.1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highlight w:val="none"/>
                <w:shd w:fill="FFFFFF" w:val="clear"/>
              </w:rPr>
            </w:pPr>
            <w:r>
              <w:rPr>
                <w:b/>
                <w:shd w:fill="FFFFFF" w:val="clear"/>
              </w:rPr>
              <w:t>Очікувана вартість</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highlight w:val="none"/>
                <w:shd w:fill="FFFFFF" w:val="clear"/>
              </w:rPr>
            </w:pPr>
            <w:r>
              <w:rPr>
                <w:b/>
                <w:shd w:fill="FFFFFF" w:val="clear"/>
                <w:lang w:val="ru-RU"/>
              </w:rPr>
              <w:t>45 000,</w:t>
            </w:r>
            <w:r>
              <w:rPr>
                <w:b/>
                <w:shd w:fill="FFFFFF" w:val="clear"/>
              </w:rPr>
              <w:t>00</w:t>
            </w:r>
            <w:r>
              <w:rPr>
                <w:b/>
                <w:shd w:fill="FFFFFF" w:val="clear"/>
                <w:lang w:val="ru-RU"/>
              </w:rPr>
              <w:t xml:space="preserve"> </w:t>
            </w:r>
            <w:r>
              <w:rPr>
                <w:b/>
                <w:shd w:fill="FFFFFF" w:val="clear"/>
              </w:rPr>
              <w:t>грн ( Сорок п'ять тисяч гривень 00 копійок)</w:t>
            </w:r>
          </w:p>
        </w:tc>
      </w:tr>
      <w:tr>
        <w:trPr>
          <w:trHeight w:val="331"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Інформація про предмет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назва предмета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highlight w:val="none"/>
                <w:shd w:fill="FFFFFF" w:val="clear"/>
              </w:rPr>
            </w:pPr>
            <w:r>
              <w:rPr>
                <w:shd w:fill="FFFFFF" w:val="clear"/>
              </w:rPr>
              <w:t xml:space="preserve"> </w:t>
            </w:r>
            <w:bookmarkStart w:id="1" w:name="_Hlk450923001"/>
            <w:r>
              <w:rPr>
                <w:b/>
                <w:bCs/>
                <w:shd w:fill="FFFFFF" w:val="clear"/>
              </w:rPr>
              <w:t xml:space="preserve">Код за ДК 021:2015: 33600000-6: Фармацевтична продукція </w:t>
            </w:r>
            <w:bookmarkEnd w:id="1"/>
            <w:r>
              <w:rPr>
                <w:shd w:fill="FFFFFF" w:val="clear"/>
              </w:rPr>
              <w:t>(</w:t>
            </w:r>
            <w:r>
              <w:rPr>
                <w:shd w:fill="FFFFFF" w:val="clear"/>
                <w:lang w:val="en-US"/>
              </w:rPr>
              <w:t>Ammonia</w:t>
            </w:r>
            <w:r>
              <w:rPr>
                <w:shd w:fill="FFFFFF" w:val="clear"/>
              </w:rPr>
              <w:t xml:space="preserve"> ; </w:t>
            </w:r>
            <w:r>
              <w:rPr>
                <w:shd w:fill="FFFFFF" w:val="clear"/>
                <w:lang w:val="en-US"/>
              </w:rPr>
              <w:t>Metamizole sodium</w:t>
            </w:r>
            <w:r>
              <w:rPr>
                <w:shd w:fill="FFFFFF" w:val="clear"/>
              </w:rPr>
              <w:t xml:space="preserve">; </w:t>
            </w:r>
            <w:r>
              <w:rPr>
                <w:shd w:fill="FFFFFF" w:val="clear"/>
                <w:lang w:val="en-US"/>
              </w:rPr>
              <w:t>Glucose</w:t>
            </w:r>
            <w:r>
              <w:rPr>
                <w:shd w:fill="FFFFFF" w:val="clear"/>
              </w:rPr>
              <w:t xml:space="preserve">; </w:t>
            </w:r>
            <w:r>
              <w:rPr>
                <w:shd w:fill="FFFFFF" w:val="clear"/>
                <w:lang w:val="en-US"/>
              </w:rPr>
              <w:t>Diclofenac</w:t>
            </w:r>
            <w:r>
              <w:rPr>
                <w:shd w:fill="FFFFFF" w:val="clear"/>
              </w:rPr>
              <w:t>;</w:t>
            </w:r>
            <w:r>
              <w:rPr>
                <w:shd w:fill="FFFFFF" w:val="clear"/>
                <w:lang w:val="en-US"/>
              </w:rPr>
              <w:t>Drotaverine</w:t>
            </w:r>
            <w:r>
              <w:rPr>
                <w:shd w:fill="FFFFFF" w:val="clear"/>
              </w:rPr>
              <w:t xml:space="preserve">; </w:t>
            </w:r>
            <w:r>
              <w:rPr>
                <w:shd w:fill="FFFFFF" w:val="clear"/>
                <w:lang w:val="en-US"/>
              </w:rPr>
              <w:t>Theophylline</w:t>
            </w:r>
            <w:r>
              <w:rPr>
                <w:shd w:fill="FFFFFF" w:val="clear"/>
              </w:rPr>
              <w:t xml:space="preserve">; </w:t>
            </w:r>
            <w:r>
              <w:rPr>
                <w:shd w:fill="FFFFFF" w:val="clear"/>
                <w:lang w:val="en-US"/>
              </w:rPr>
              <w:t>Captopril</w:t>
            </w:r>
            <w:r>
              <w:rPr>
                <w:shd w:fill="FFFFFF" w:val="clear"/>
              </w:rPr>
              <w:t xml:space="preserve">; </w:t>
            </w:r>
            <w:r>
              <w:rPr>
                <w:shd w:fill="FFFFFF" w:val="clear"/>
                <w:lang w:val="en-US"/>
              </w:rPr>
              <w:t>Levofloxacin</w:t>
            </w:r>
            <w:r>
              <w:rPr>
                <w:shd w:fill="FFFFFF" w:val="clear"/>
              </w:rPr>
              <w:t>;</w:t>
            </w:r>
          </w:p>
          <w:p>
            <w:pPr>
              <w:pStyle w:val="Normal"/>
              <w:widowControl w:val="false"/>
              <w:rPr>
                <w:highlight w:val="none"/>
                <w:shd w:fill="FFFFFF" w:val="clear"/>
              </w:rPr>
            </w:pPr>
            <w:r>
              <w:rPr>
                <w:color w:val="000000"/>
                <w:shd w:fill="FFFFFF" w:val="clear"/>
                <w:lang w:val="en-US"/>
              </w:rPr>
              <w:t>Loratadine</w:t>
            </w:r>
            <w:r>
              <w:rPr>
                <w:color w:val="000000"/>
                <w:shd w:fill="FFFFFF" w:val="clear"/>
              </w:rPr>
              <w:t xml:space="preserve">; </w:t>
            </w:r>
            <w:r>
              <w:rPr>
                <w:shd w:fill="FFFFFF" w:val="clear"/>
                <w:lang w:val="en-US"/>
              </w:rPr>
              <w:t>Phenylephrine</w:t>
            </w:r>
            <w:r>
              <w:rPr>
                <w:shd w:fill="FFFFFF" w:val="clear"/>
              </w:rPr>
              <w:t xml:space="preserve">; </w:t>
            </w:r>
            <w:r>
              <w:rPr>
                <w:shd w:fill="FFFFFF" w:val="clear"/>
                <w:lang w:val="en-US"/>
              </w:rPr>
              <w:t>Glyceryl trinitrate</w:t>
            </w:r>
            <w:r>
              <w:rPr>
                <w:shd w:fill="FFFFFF" w:val="clear"/>
              </w:rPr>
              <w:t xml:space="preserve">; </w:t>
            </w:r>
            <w:r>
              <w:rPr>
                <w:shd w:fill="FFFFFF" w:val="clear"/>
                <w:lang w:val="en-US"/>
              </w:rPr>
              <w:t>Prednisolone</w:t>
            </w:r>
            <w:r>
              <w:rPr>
                <w:shd w:fill="FFFFFF" w:val="clear"/>
              </w:rPr>
              <w:t xml:space="preserve">; </w:t>
            </w:r>
            <w:r>
              <w:rPr>
                <w:shd w:fill="FFFFFF" w:val="clear"/>
                <w:lang w:val="en-US"/>
              </w:rPr>
              <w:t>Prednisolone</w:t>
            </w:r>
            <w:r>
              <w:rPr>
                <w:shd w:fill="FFFFFF" w:val="clear"/>
              </w:rPr>
              <w:t>;</w:t>
            </w:r>
            <w:r>
              <w:rPr>
                <w:shd w:fill="FFFFFF" w:val="clear"/>
                <w:lang w:val="en-US"/>
              </w:rPr>
              <w:t>Nifedipine</w:t>
            </w:r>
            <w:r>
              <w:rPr>
                <w:shd w:fill="FFFFFF" w:val="clear"/>
              </w:rPr>
              <w:t xml:space="preserve">; </w:t>
            </w:r>
            <w:r>
              <w:rPr>
                <w:shd w:fill="FFFFFF" w:val="clear"/>
                <w:lang w:val="en-US"/>
              </w:rPr>
              <w:t>Chlorhexidine</w:t>
            </w:r>
            <w:r>
              <w:rPr>
                <w:shd w:fill="FFFFFF" w:val="clear"/>
              </w:rPr>
              <w:t>)</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опис окремої частини або частин предмета закупівлі (лота), щодо яких можуть бути подані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
                <w:b/>
                <w:highlight w:val="none"/>
                <w:shd w:fill="FFFFFF" w:val="clear"/>
              </w:rPr>
            </w:pPr>
            <w:r>
              <w:rPr>
                <w:b/>
                <w:shd w:fill="FFFFFF" w:val="clear"/>
              </w:rPr>
              <w:t>Закупівля на лоти не поділяється.</w:t>
            </w:r>
          </w:p>
          <w:p>
            <w:pPr>
              <w:pStyle w:val="Normal"/>
              <w:widowControl w:val="false"/>
              <w:shd w:val="clear" w:color="auto" w:fill="FFFFFF"/>
              <w:jc w:val="both"/>
              <w:rPr>
                <w:b/>
                <w:b/>
                <w:highlight w:val="none"/>
                <w:shd w:fill="FFFFFF" w:val="clear"/>
              </w:rPr>
            </w:pPr>
            <w:r>
              <w:rPr>
                <w:b/>
                <w:shd w:fill="FFFFFF" w:val="clea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bookmarkStart w:id="2" w:name="_gjdgxs"/>
            <w:bookmarkEnd w:id="2"/>
            <w:r>
              <w:rPr>
                <w:shd w:fill="FFFFFF" w:val="clear"/>
              </w:rPr>
              <w:t>4.3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кількість товару та місце його поставки або місце, де повинні бути виконані роботи чи надані послуги, їх обсяги</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color w:val="000000"/>
                <w:highlight w:val="none"/>
                <w:shd w:fill="FFFFFF" w:val="clear"/>
              </w:rPr>
            </w:pPr>
            <w:r>
              <w:rPr>
                <w:b/>
                <w:color w:val="000000"/>
                <w:shd w:fill="FFFFFF" w:val="clear"/>
              </w:rPr>
              <w:t>Згідно технічної специфікації та/або проекту договору</w:t>
            </w:r>
          </w:p>
          <w:p>
            <w:pPr>
              <w:pStyle w:val="Normal"/>
              <w:widowControl w:val="false"/>
              <w:shd w:val="clear" w:color="auto" w:fill="FFFFFF"/>
              <w:rPr>
                <w:b/>
                <w:b/>
                <w:color w:val="000000"/>
                <w:highlight w:val="none"/>
                <w:shd w:fill="FFFFFF" w:val="clear"/>
              </w:rPr>
            </w:pPr>
            <w:r>
              <w:rPr>
                <w:b/>
                <w:color w:val="000000"/>
                <w:shd w:fill="FFFFFF" w:val="clea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строки поставки товарів, виконання робіт, надання послуг</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color w:val="000000"/>
                <w:highlight w:val="none"/>
                <w:shd w:fill="FFFFFF" w:val="clear"/>
              </w:rPr>
            </w:pPr>
            <w:r>
              <w:rPr>
                <w:b/>
                <w:color w:val="000000"/>
                <w:shd w:fill="FFFFFF" w:val="clear"/>
              </w:rPr>
              <w:t>Згідно технічної специфікації та/або проекту договору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Недискримінація учасників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Інформація про валюту, у якій повинна бути зазначена ціна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trPr>
          <w:trHeight w:val="272"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7</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Інформація про мову (мови), якою (якими) повинні бути складені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Всі документи, що готуються учасником, викладаються українською мовою. Документи, які не готуються учасником та представлені в складі пропозиції на іншій мові ніж українська, учасник надає переклад цього документа. Відповідальність за якість та достовірність перекладу несе учасник.</w:t>
            </w:r>
          </w:p>
          <w:p>
            <w:pPr>
              <w:pStyle w:val="Normal"/>
              <w:widowControl w:val="false"/>
              <w:shd w:val="clear" w:color="auto" w:fill="FFFFFF"/>
              <w:jc w:val="both"/>
              <w:rPr>
                <w:highlight w:val="none"/>
                <w:shd w:fill="FFFFFF" w:val="clear"/>
              </w:rPr>
            </w:pPr>
            <w:r>
              <w:rPr>
                <w:shd w:fill="FFFFFF" w:val="clear"/>
              </w:rPr>
            </w:r>
          </w:p>
          <w:p>
            <w:pPr>
              <w:pStyle w:val="Normal"/>
              <w:widowControl w:val="false"/>
              <w:shd w:val="clear" w:color="auto" w:fill="FFFFFF"/>
              <w:jc w:val="both"/>
              <w:rPr>
                <w:highlight w:val="none"/>
                <w:shd w:fill="FFFFFF" w:val="clear"/>
              </w:rPr>
            </w:pPr>
            <w:r>
              <w:rPr>
                <w:shd w:fill="FFFFFF" w:val="clear"/>
              </w:rPr>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highlight w:val="none"/>
                <w:shd w:fill="FFFFFF" w:val="clear"/>
              </w:rPr>
            </w:pPr>
            <w:r>
              <w:rPr>
                <w:b/>
                <w:shd w:fill="FFFFFF" w:val="clear"/>
              </w:rPr>
              <w:t>II. Порядок внесення змін та надання роз’яснень</w:t>
            </w:r>
          </w:p>
        </w:tc>
      </w:tr>
      <w:tr>
        <w:trPr>
          <w:trHeight w:val="417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highlight w:val="none"/>
                <w:shd w:fill="FFFFFF" w:val="clear"/>
              </w:rPr>
            </w:pPr>
            <w:r>
              <w:rPr>
                <w:b/>
                <w:shd w:fill="FFFFFF" w:val="clear"/>
              </w:rPr>
              <w:t>Порядок уточнення інформації та внесення змін</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pStyle w:val="Normal"/>
              <w:widowControl w:val="false"/>
              <w:shd w:val="clear" w:color="auto" w:fill="FFFFFF"/>
              <w:jc w:val="both"/>
              <w:rPr>
                <w:highlight w:val="none"/>
                <w:shd w:fill="FFFFFF" w:val="clear"/>
              </w:rPr>
            </w:pPr>
            <w:r>
              <w:rPr>
                <w:shd w:fill="FFFFFF" w:val="clear"/>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hd w:val="clear" w:color="auto" w:fill="FFFFFF"/>
              <w:jc w:val="both"/>
              <w:rPr>
                <w:highlight w:val="none"/>
                <w:shd w:fill="FFFFFF" w:val="clear"/>
              </w:rPr>
            </w:pPr>
            <w:r>
              <w:rPr>
                <w:shd w:fill="FFFFFF" w:val="clear"/>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pPr>
              <w:pStyle w:val="Normal"/>
              <w:widowControl w:val="false"/>
              <w:shd w:val="clear" w:color="auto" w:fill="FFFFFF"/>
              <w:jc w:val="both"/>
              <w:rPr>
                <w:highlight w:val="none"/>
                <w:shd w:fill="FFFFFF" w:val="clear"/>
              </w:rPr>
            </w:pPr>
            <w:r>
              <w:rPr>
                <w:shd w:fill="FFFFFF" w:val="clear"/>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pPr>
              <w:pStyle w:val="Normal"/>
              <w:widowControl w:val="false"/>
              <w:shd w:val="clear" w:color="auto" w:fill="FFFFFF"/>
              <w:jc w:val="both"/>
              <w:rPr>
                <w:highlight w:val="none"/>
                <w:shd w:fill="FFFFFF" w:val="clear"/>
              </w:rPr>
            </w:pPr>
            <w:r>
              <w:rPr>
                <w:shd w:fill="FFFFFF" w:val="clear"/>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center"/>
              <w:rPr>
                <w:highlight w:val="none"/>
                <w:shd w:fill="FFFFFF" w:val="clear"/>
              </w:rPr>
            </w:pPr>
            <w:r>
              <w:rPr>
                <w:b/>
                <w:shd w:fill="FFFFFF" w:val="clear"/>
              </w:rPr>
              <w:t>III. Інструкція з підготовки пропозицій</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highlight w:val="none"/>
                <w:shd w:fill="FFFFFF" w:val="clear"/>
              </w:rPr>
            </w:pPr>
            <w:r>
              <w:rPr>
                <w:shd w:fill="FFFFFF" w:val="clea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b/>
                <w:shd w:fill="FFFFFF" w:val="clear"/>
              </w:rPr>
              <w:t>Зміст і спосіб подання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542" w:leader="none"/>
              </w:tabs>
              <w:jc w:val="both"/>
              <w:rPr>
                <w:highlight w:val="none"/>
                <w:shd w:fill="FFFFFF" w:val="clear"/>
              </w:rPr>
            </w:pPr>
            <w:r>
              <w:rPr>
                <w:shd w:fill="FFFFFF" w:val="clear"/>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tabs>
                <w:tab w:val="clear" w:pos="720"/>
                <w:tab w:val="left" w:pos="542" w:leader="none"/>
              </w:tabs>
              <w:jc w:val="both"/>
              <w:rPr>
                <w:highlight w:val="none"/>
                <w:shd w:fill="FFFFFF" w:val="clear"/>
              </w:rPr>
            </w:pPr>
            <w:r>
              <w:rPr>
                <w:shd w:fill="FFFFFF" w:val="clear"/>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tabs>
                <w:tab w:val="clear" w:pos="720"/>
                <w:tab w:val="left" w:pos="542" w:leader="none"/>
              </w:tabs>
              <w:jc w:val="both"/>
              <w:rPr>
                <w:highlight w:val="none"/>
                <w:shd w:fill="FFFFFF" w:val="clear"/>
              </w:rPr>
            </w:pPr>
            <w:r>
              <w:rPr>
                <w:shd w:fill="FFFFFF" w:val="clear"/>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pPr>
              <w:pStyle w:val="Normal"/>
              <w:widowControl w:val="false"/>
              <w:tabs>
                <w:tab w:val="clear" w:pos="720"/>
                <w:tab w:val="left" w:pos="542" w:leader="none"/>
              </w:tabs>
              <w:jc w:val="both"/>
              <w:rPr>
                <w:highlight w:val="none"/>
                <w:shd w:fill="FFFFFF" w:val="clear"/>
              </w:rPr>
            </w:pPr>
            <w:r>
              <w:rPr>
                <w:shd w:fill="FFFFFF" w:val="clear"/>
              </w:rPr>
              <w:t>Пропозиції учасників, подані після закінчення строку їх подання, електронною системою закупівель не приймаються.</w:t>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t>--------------------------------------------------------------------------------</w:t>
            </w:r>
          </w:p>
          <w:p>
            <w:pPr>
              <w:pStyle w:val="Normal"/>
              <w:widowControl w:val="false"/>
              <w:shd w:val="clear" w:color="auto" w:fill="FFFFFF"/>
              <w:tabs>
                <w:tab w:val="clear" w:pos="720"/>
                <w:tab w:val="left" w:pos="542" w:leader="none"/>
              </w:tabs>
              <w:jc w:val="both"/>
              <w:rPr>
                <w:highlight w:val="none"/>
                <w:shd w:fill="FFFFFF" w:val="clear"/>
              </w:rPr>
            </w:pPr>
            <w:r>
              <w:rPr>
                <w:shd w:fill="FFFFFF" w:val="clear"/>
              </w:rP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tabs>
                <w:tab w:val="clear" w:pos="720"/>
                <w:tab w:val="left" w:pos="542" w:leader="none"/>
              </w:tabs>
              <w:jc w:val="both"/>
              <w:rPr>
                <w:b/>
                <w:b/>
                <w:highlight w:val="none"/>
                <w:shd w:fill="FFFFFF" w:val="clear"/>
              </w:rPr>
            </w:pPr>
            <w:r>
              <w:rPr>
                <w:b/>
                <w:shd w:fill="FFFFFF" w:val="clear"/>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w:t>
            </w:r>
          </w:p>
          <w:p>
            <w:pPr>
              <w:pStyle w:val="Normal"/>
              <w:widowControl w:val="false"/>
              <w:tabs>
                <w:tab w:val="clear" w:pos="720"/>
                <w:tab w:val="left" w:pos="542" w:leader="none"/>
              </w:tabs>
              <w:jc w:val="both"/>
              <w:rPr>
                <w:b/>
                <w:b/>
                <w:highlight w:val="none"/>
                <w:shd w:fill="FFFFFF" w:val="clear"/>
              </w:rPr>
            </w:pPr>
            <w:r>
              <w:rPr>
                <w:b/>
                <w:shd w:fill="FFFFFF" w:val="clear"/>
              </w:rPr>
            </w:r>
          </w:p>
          <w:p>
            <w:pPr>
              <w:pStyle w:val="Normal"/>
              <w:widowControl w:val="false"/>
              <w:tabs>
                <w:tab w:val="clear" w:pos="720"/>
                <w:tab w:val="left" w:pos="542" w:leader="none"/>
              </w:tabs>
              <w:jc w:val="center"/>
              <w:rPr>
                <w:b/>
                <w:b/>
                <w:i/>
                <w:i/>
                <w:highlight w:val="none"/>
                <w:shd w:fill="FFFFFF" w:val="clear"/>
              </w:rPr>
            </w:pPr>
            <w:r>
              <w:rPr>
                <w:b/>
                <w:i/>
                <w:shd w:fill="FFFFFF" w:val="clear"/>
              </w:rPr>
              <w:t>Якщо учасником є юридична особа:</w:t>
            </w:r>
          </w:p>
          <w:p>
            <w:pPr>
              <w:pStyle w:val="Normal"/>
              <w:widowControl w:val="false"/>
              <w:tabs>
                <w:tab w:val="clear" w:pos="720"/>
                <w:tab w:val="left" w:pos="542" w:leader="none"/>
              </w:tabs>
              <w:jc w:val="both"/>
              <w:rPr>
                <w:b/>
                <w:b/>
                <w:highlight w:val="none"/>
                <w:shd w:fill="FFFFFF" w:val="clear"/>
              </w:rPr>
            </w:pPr>
            <w:r>
              <w:rPr>
                <w:b/>
                <w:shd w:fill="FFFFFF" w:val="clear"/>
              </w:rPr>
              <w:t>- КЕП службової (посадової) особи учасника закупівлі,</w:t>
            </w:r>
          </w:p>
          <w:p>
            <w:pPr>
              <w:pStyle w:val="Normal"/>
              <w:widowControl w:val="false"/>
              <w:tabs>
                <w:tab w:val="clear" w:pos="720"/>
                <w:tab w:val="left" w:pos="542" w:leader="none"/>
                <w:tab w:val="left" w:pos="2505" w:leader="none"/>
              </w:tabs>
              <w:jc w:val="both"/>
              <w:rPr>
                <w:b/>
                <w:b/>
                <w:highlight w:val="none"/>
                <w:shd w:fill="FFFFFF" w:val="clear"/>
              </w:rPr>
            </w:pPr>
            <w:r>
              <w:rPr>
                <w:b/>
                <w:shd w:fill="FFFFFF" w:val="clear"/>
              </w:rPr>
              <w:t>або</w:t>
            </w:r>
          </w:p>
          <w:p>
            <w:pPr>
              <w:pStyle w:val="Normal"/>
              <w:widowControl w:val="false"/>
              <w:tabs>
                <w:tab w:val="clear" w:pos="720"/>
                <w:tab w:val="left" w:pos="542" w:leader="none"/>
              </w:tabs>
              <w:jc w:val="both"/>
              <w:rPr>
                <w:b/>
                <w:b/>
                <w:highlight w:val="none"/>
                <w:shd w:fill="FFFFFF" w:val="clear"/>
              </w:rPr>
            </w:pPr>
            <w:r>
              <w:rPr>
                <w:b/>
                <w:shd w:fill="FFFFFF" w:val="clear"/>
              </w:rPr>
              <w:t xml:space="preserve">- КЕП фізичної особи — </w:t>
            </w:r>
            <w:r>
              <w:rPr>
                <w:b/>
                <w:color w:val="212121"/>
                <w:shd w:fill="FFFFFF" w:val="clear"/>
              </w:rPr>
              <w:t xml:space="preserve">представника </w:t>
            </w:r>
            <w:r>
              <w:rPr>
                <w:b/>
                <w:shd w:fill="FFFFFF" w:val="clear"/>
              </w:rPr>
              <w:t xml:space="preserve">учасника закупівлі </w:t>
            </w:r>
            <w:r>
              <w:rPr>
                <w:b/>
                <w:color w:val="212121"/>
                <w:shd w:fill="FFFFFF" w:val="clear"/>
              </w:rPr>
              <w:t>за довіреністю, дорученням або іншим документом, що уповноважує її.</w:t>
            </w:r>
          </w:p>
          <w:p>
            <w:pPr>
              <w:pStyle w:val="Normal"/>
              <w:widowControl w:val="false"/>
              <w:tabs>
                <w:tab w:val="clear" w:pos="720"/>
                <w:tab w:val="left" w:pos="542" w:leader="none"/>
              </w:tabs>
              <w:jc w:val="both"/>
              <w:rPr>
                <w:b/>
                <w:b/>
                <w:highlight w:val="none"/>
                <w:shd w:fill="FFFFFF" w:val="clear"/>
              </w:rPr>
            </w:pPr>
            <w:r>
              <w:rPr>
                <w:b/>
                <w:shd w:fill="FFFFFF" w:val="clear"/>
              </w:rPr>
            </w:r>
          </w:p>
          <w:p>
            <w:pPr>
              <w:pStyle w:val="Normal"/>
              <w:widowControl w:val="false"/>
              <w:tabs>
                <w:tab w:val="clear" w:pos="720"/>
                <w:tab w:val="left" w:pos="542" w:leader="none"/>
              </w:tabs>
              <w:jc w:val="center"/>
              <w:rPr>
                <w:b/>
                <w:b/>
                <w:i/>
                <w:i/>
                <w:highlight w:val="none"/>
                <w:shd w:fill="FFFFFF" w:val="clear"/>
              </w:rPr>
            </w:pPr>
            <w:r>
              <w:rPr>
                <w:b/>
                <w:i/>
                <w:shd w:fill="FFFFFF" w:val="clear"/>
              </w:rPr>
              <w:t>Якщо учасником є фізична особа-підприємець:</w:t>
            </w:r>
          </w:p>
          <w:p>
            <w:pPr>
              <w:pStyle w:val="Normal"/>
              <w:widowControl w:val="false"/>
              <w:tabs>
                <w:tab w:val="clear" w:pos="720"/>
                <w:tab w:val="left" w:pos="542" w:leader="none"/>
              </w:tabs>
              <w:jc w:val="both"/>
              <w:rPr>
                <w:b/>
                <w:b/>
                <w:highlight w:val="none"/>
                <w:shd w:fill="FFFFFF" w:val="clear"/>
              </w:rPr>
            </w:pPr>
            <w:r>
              <w:rPr>
                <w:b/>
                <w:shd w:fill="FFFFFF" w:val="clear"/>
              </w:rPr>
              <w:t>- КЕП фізичної особи</w:t>
            </w:r>
          </w:p>
          <w:p>
            <w:pPr>
              <w:pStyle w:val="Normal"/>
              <w:widowControl w:val="false"/>
              <w:tabs>
                <w:tab w:val="clear" w:pos="720"/>
                <w:tab w:val="left" w:pos="542" w:leader="none"/>
              </w:tabs>
              <w:jc w:val="both"/>
              <w:rPr>
                <w:b/>
                <w:b/>
                <w:highlight w:val="none"/>
                <w:shd w:fill="FFFFFF" w:val="clear"/>
              </w:rPr>
            </w:pPr>
            <w:r>
              <w:rPr>
                <w:b/>
                <w:shd w:fill="FFFFFF" w:val="clear"/>
              </w:rPr>
            </w:r>
          </w:p>
          <w:p>
            <w:pPr>
              <w:pStyle w:val="Normal"/>
              <w:widowControl w:val="false"/>
              <w:jc w:val="both"/>
              <w:rPr/>
            </w:pPr>
            <w:r>
              <w:rPr>
                <w:shd w:fill="FFFFFF" w:val="clear"/>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4">
              <w:r>
                <w:rPr>
                  <w:color w:val="0000FF"/>
                  <w:u w:val="single"/>
                  <w:shd w:fill="FFFFFF" w:val="clear"/>
                </w:rPr>
                <w:t>https://acskidd.gov.ua/sign</w:t>
              </w:r>
            </w:hyperlink>
            <w:r>
              <w:rPr>
                <w:shd w:fill="FFFFFF" w:val="clear"/>
              </w:rPr>
              <w:t>.</w:t>
            </w:r>
          </w:p>
          <w:p>
            <w:pPr>
              <w:pStyle w:val="Normal"/>
              <w:widowControl w:val="false"/>
              <w:shd w:val="clear" w:color="auto" w:fill="FFFFFF"/>
              <w:jc w:val="both"/>
              <w:rPr>
                <w:color w:val="000000"/>
                <w:highlight w:val="none"/>
                <w:shd w:fill="FFFFFF" w:val="clear"/>
              </w:rPr>
            </w:pPr>
            <w:r>
              <w:rPr>
                <w:color w:val="000000"/>
                <w:shd w:fill="FFFFFF" w:val="clear"/>
              </w:rPr>
              <w:t>--------------------------------------------------------------------------------</w:t>
            </w:r>
          </w:p>
          <w:p>
            <w:pPr>
              <w:pStyle w:val="Normal"/>
              <w:widowControl w:val="false"/>
              <w:shd w:val="clear" w:color="auto" w:fill="FFFFFF"/>
              <w:jc w:val="both"/>
              <w:rPr/>
            </w:pPr>
            <w:r>
              <w:rPr>
                <w:color w:val="000000"/>
                <w:shd w:fill="FFFFFF" w:val="clear"/>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shd w:fill="FFFFFF" w:val="clear"/>
              </w:rPr>
              <w:t>електронного підпису, що базується на кваліфікованому сертифікаті електронного підпису, відповідно до вимог </w:t>
            </w:r>
            <w:hyperlink r:id="rId5">
              <w:r>
                <w:rPr>
                  <w:color w:val="000099"/>
                  <w:u w:val="single"/>
                  <w:shd w:fill="FFFFFF" w:val="clear"/>
                </w:rPr>
                <w:t>Закону України</w:t>
              </w:r>
            </w:hyperlink>
            <w:r>
              <w:rPr>
                <w:color w:val="333333"/>
                <w:shd w:fill="FFFFFF" w:val="clear"/>
              </w:rPr>
              <w:t> "Про електронні довірчі послуги</w:t>
            </w:r>
            <w:r>
              <w:rPr>
                <w:color w:val="000000"/>
                <w:shd w:fill="FFFFFF" w:val="clear"/>
              </w:rPr>
              <w:t>.</w:t>
            </w:r>
          </w:p>
          <w:p>
            <w:pPr>
              <w:pStyle w:val="Normal"/>
              <w:widowControl w:val="false"/>
              <w:shd w:val="clear" w:color="auto" w:fill="FFFFFF"/>
              <w:jc w:val="both"/>
              <w:rPr>
                <w:highlight w:val="none"/>
                <w:shd w:fill="FFFFFF" w:val="clear"/>
              </w:rPr>
            </w:pPr>
            <w:r>
              <w:rPr>
                <w:shd w:fill="FFFFFF" w:val="clear"/>
              </w:rPr>
              <w:t>--------------------------------------------------------------------------------</w:t>
            </w:r>
          </w:p>
          <w:p>
            <w:pPr>
              <w:pStyle w:val="Normal"/>
              <w:widowControl w:val="false"/>
              <w:shd w:val="clear" w:color="auto" w:fill="FFFFFF"/>
              <w:jc w:val="both"/>
              <w:rPr>
                <w:highlight w:val="none"/>
                <w:shd w:fill="FFFFFF" w:val="clear"/>
              </w:rPr>
            </w:pPr>
            <w:r>
              <w:rPr>
                <w:shd w:fill="FFFFFF" w:val="clear"/>
              </w:rPr>
              <w:t>Повноваження на підпис документів пропозиції підтверджуються документально згідно додатку 1 до документації.</w:t>
            </w:r>
          </w:p>
          <w:p>
            <w:pPr>
              <w:pStyle w:val="Normal"/>
              <w:widowControl w:val="false"/>
              <w:shd w:val="clear" w:color="auto" w:fill="FFFFFF"/>
              <w:jc w:val="both"/>
              <w:rPr>
                <w:highlight w:val="none"/>
                <w:shd w:fill="FFFFFF" w:val="clear"/>
              </w:rPr>
            </w:pPr>
            <w:r>
              <w:rPr>
                <w:shd w:fill="FFFFFF" w:val="clear"/>
              </w:rPr>
              <w:t>--------------------------------------------------------------------------------</w:t>
            </w:r>
          </w:p>
          <w:p>
            <w:pPr>
              <w:pStyle w:val="Normal"/>
              <w:widowControl w:val="false"/>
              <w:shd w:val="clear" w:color="auto" w:fill="FFFFFF"/>
              <w:jc w:val="both"/>
              <w:rPr>
                <w:highlight w:val="none"/>
                <w:shd w:fill="FFFFFF" w:val="clear"/>
              </w:rPr>
            </w:pPr>
            <w:r>
              <w:rPr>
                <w:shd w:fill="FFFFFF" w:val="clear"/>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trPr>
          <w:trHeight w:val="40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240"/>
              <w:rPr>
                <w:highlight w:val="none"/>
                <w:shd w:fill="FFFFFF" w:val="clear"/>
              </w:rPr>
            </w:pPr>
            <w:r>
              <w:rPr>
                <w:shd w:fill="FFFFFF" w:val="clea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240"/>
              <w:rPr>
                <w:highlight w:val="none"/>
                <w:shd w:fill="FFFFFF" w:val="clear"/>
              </w:rPr>
            </w:pPr>
            <w:r>
              <w:rPr>
                <w:b/>
                <w:shd w:fill="FFFFFF" w:val="clear"/>
              </w:rPr>
              <w:t>Розмір та умови надання забезпечення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271" w:leader="none"/>
                <w:tab w:val="left" w:pos="542" w:leader="none"/>
              </w:tabs>
              <w:jc w:val="both"/>
              <w:rPr>
                <w:highlight w:val="none"/>
                <w:shd w:fill="FFFFFF" w:val="clear"/>
              </w:rPr>
            </w:pPr>
            <w:r>
              <w:rPr>
                <w:i/>
                <w:shd w:fill="FFFFFF" w:val="clear"/>
              </w:rPr>
              <w:t>Не вимагається</w:t>
            </w:r>
          </w:p>
          <w:p>
            <w:pPr>
              <w:pStyle w:val="Normal"/>
              <w:widowControl w:val="false"/>
              <w:shd w:val="clear" w:color="auto" w:fill="FFFFFF"/>
              <w:jc w:val="both"/>
              <w:rPr>
                <w:highlight w:val="none"/>
                <w:shd w:fill="FFFFFF" w:val="clear"/>
              </w:rPr>
            </w:pPr>
            <w:r>
              <w:rPr>
                <w:shd w:fill="FFFFFF" w:val="clear"/>
              </w:rPr>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Умови повернення чи неповернення забезпечення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20"/>
                <w:tab w:val="left" w:pos="271" w:leader="none"/>
                <w:tab w:val="left" w:pos="542" w:leader="none"/>
              </w:tabs>
              <w:jc w:val="both"/>
              <w:rPr>
                <w:highlight w:val="none"/>
                <w:shd w:fill="FFFFFF" w:val="clear"/>
              </w:rPr>
            </w:pPr>
            <w:bookmarkStart w:id="3" w:name="30j0zll"/>
            <w:bookmarkEnd w:id="3"/>
            <w:r>
              <w:rPr>
                <w:i/>
                <w:shd w:fill="FFFFFF" w:val="clear"/>
              </w:rPr>
              <w:t>Не застосовується</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highlight w:val="none"/>
                <w:shd w:fill="FFFFFF" w:val="clear"/>
              </w:rPr>
            </w:pPr>
            <w:r>
              <w:rPr>
                <w:b/>
                <w:shd w:fill="FFFFFF" w:val="clear"/>
              </w:rPr>
              <w:t>Вимоги до учасників</w:t>
            </w:r>
          </w:p>
          <w:p>
            <w:pPr>
              <w:pStyle w:val="Normal"/>
              <w:widowControl w:val="false"/>
              <w:shd w:val="clear" w:color="auto" w:fill="FFFFFF"/>
              <w:rPr>
                <w:b/>
                <w:b/>
                <w:highlight w:val="none"/>
                <w:shd w:fill="FFFFFF" w:val="clear"/>
              </w:rPr>
            </w:pPr>
            <w:r>
              <w:rPr>
                <w:b/>
                <w:shd w:fill="FFFFFF" w:val="clear"/>
              </w:rPr>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 xml:space="preserve">Замовник вимагає від учасників закупівлі подання ними документально підтвердженої інформації про їх відповідність вимогам згідно </w:t>
            </w:r>
            <w:r>
              <w:rPr>
                <w:b/>
                <w:bCs/>
                <w:shd w:fill="FFFFFF" w:val="clear"/>
              </w:rPr>
              <w:t>додатку 1</w:t>
            </w:r>
            <w:r>
              <w:rPr>
                <w:shd w:fill="FFFFFF" w:val="clear"/>
              </w:rPr>
              <w:t xml:space="preserve"> до документації.</w:t>
            </w:r>
          </w:p>
          <w:p>
            <w:pPr>
              <w:pStyle w:val="Normal"/>
              <w:widowControl w:val="false"/>
              <w:shd w:val="clear" w:color="auto" w:fill="FFFFFF"/>
              <w:jc w:val="both"/>
              <w:rPr>
                <w:highlight w:val="none"/>
                <w:shd w:fill="FFFFFF" w:val="clear"/>
              </w:rPr>
            </w:pPr>
            <w:r>
              <w:rPr>
                <w:color w:val="000000"/>
                <w:shd w:fill="FFFFFF" w:val="clear"/>
              </w:rPr>
              <w:t>У разі участі об’єднання учасників підтвердження відповідності вимогам</w:t>
            </w:r>
            <w:r>
              <w:rPr>
                <w:color w:val="FF0000"/>
                <w:shd w:fill="FFFFFF" w:val="clear"/>
              </w:rPr>
              <w:t xml:space="preserve"> </w:t>
            </w:r>
            <w:r>
              <w:rPr>
                <w:color w:val="000000"/>
                <w:shd w:fill="FFFFFF" w:val="clear"/>
              </w:rPr>
              <w:t>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jc w:val="both"/>
              <w:rPr>
                <w:highlight w:val="none"/>
                <w:shd w:fill="FFFFFF" w:val="clear"/>
              </w:rPr>
            </w:pPr>
            <w:r>
              <w:rPr>
                <w:shd w:fill="FFFFFF" w:val="clear"/>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Інформація про необхідні технічні, якісні та кількісні характеристики предмета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Pr>
                <w:b/>
                <w:bCs/>
                <w:shd w:fill="FFFFFF" w:val="clear"/>
              </w:rPr>
              <w:t>додатку 2</w:t>
            </w:r>
            <w:r>
              <w:rPr>
                <w:shd w:fill="FFFFFF" w:val="clear"/>
              </w:rPr>
              <w:t xml:space="preserve"> до документації).</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hanging="23"/>
              <w:jc w:val="center"/>
              <w:rPr>
                <w:highlight w:val="none"/>
                <w:shd w:fill="FFFFFF" w:val="clear"/>
              </w:rPr>
            </w:pPr>
            <w:r>
              <w:rPr>
                <w:b/>
                <w:shd w:fill="FFFFFF" w:val="clear"/>
              </w:rPr>
              <w:t>IV. Подання, розкриття, оцінка та розгляд пропозиції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Кінцевий строк подання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Кінцевий строк подання пропозицій - згідно оголошення про проведення закупівлі.</w:t>
            </w:r>
          </w:p>
        </w:tc>
      </w:tr>
      <w:tr>
        <w:trPr>
          <w:trHeight w:val="278"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Дата і час розкриття пропозиції</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Перед початком електронного аукціону автоматично розкривається інформація про ціни/приведені ціни пропозицій.</w:t>
            </w:r>
          </w:p>
          <w:p>
            <w:pPr>
              <w:pStyle w:val="Normal"/>
              <w:widowControl w:val="false"/>
              <w:shd w:val="clear" w:color="auto" w:fill="FFFFFF"/>
              <w:jc w:val="both"/>
              <w:rPr>
                <w:highlight w:val="none"/>
                <w:shd w:fill="FFFFFF" w:val="clear"/>
              </w:rPr>
            </w:pPr>
            <w:r>
              <w:rPr>
                <w:shd w:fill="FFFFFF" w:val="clear"/>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Перелік критеріїв та методика оцінки пропозиції із зазначенням питомої ваги критерію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pPr>
              <w:pStyle w:val="Normal"/>
              <w:widowControl w:val="false"/>
              <w:shd w:val="clear" w:color="auto" w:fill="FFFFFF"/>
              <w:jc w:val="both"/>
              <w:rPr>
                <w:highlight w:val="none"/>
                <w:shd w:fill="FFFFFF" w:val="clear"/>
              </w:rPr>
            </w:pPr>
            <w:r>
              <w:rPr>
                <w:shd w:fill="FFFFFF" w:val="clear"/>
              </w:rPr>
              <w:t>Дата і час проведення електронного аукціону визначаються електронною системою закупівель автоматично.</w:t>
            </w:r>
          </w:p>
          <w:p>
            <w:pPr>
              <w:pStyle w:val="Normal"/>
              <w:widowControl w:val="false"/>
              <w:shd w:val="clear" w:color="auto" w:fill="FFFFFF"/>
              <w:jc w:val="both"/>
              <w:rPr>
                <w:highlight w:val="none"/>
                <w:shd w:fill="FFFFFF" w:val="clear"/>
              </w:rPr>
            </w:pPr>
            <w:r>
              <w:rPr>
                <w:b/>
                <w:bCs/>
                <w:shd w:fill="FFFFFF" w:val="clear"/>
              </w:rPr>
              <w:t>Критеріями оцінки є ціна</w:t>
            </w:r>
            <w:r>
              <w:rPr>
                <w:shd w:fill="FFFFFF" w:val="clear"/>
              </w:rPr>
              <w:t>.</w:t>
            </w:r>
          </w:p>
          <w:p>
            <w:pPr>
              <w:pStyle w:val="Normal"/>
              <w:widowControl w:val="false"/>
              <w:shd w:val="clear" w:color="auto" w:fill="FFFFFF"/>
              <w:jc w:val="both"/>
              <w:rPr>
                <w:highlight w:val="none"/>
                <w:shd w:fill="FFFFFF" w:val="clear"/>
              </w:rPr>
            </w:pPr>
            <w:r>
              <w:rPr>
                <w:shd w:fill="FFFFFF" w:val="clear"/>
              </w:rPr>
              <w:t>Замовник та учасники не можуть ініціювати будь-які переговори з питань внесення змін до змісту або ціни поданої пропозиції.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highlight w:val="none"/>
                <w:shd w:fill="FFFFFF" w:val="clear"/>
              </w:rPr>
            </w:pPr>
            <w:r>
              <w:rPr>
                <w:b/>
                <w:shd w:fill="FFFFFF" w:val="clear"/>
              </w:rPr>
              <w:t>Розгляд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pPr>
              <w:pStyle w:val="Normal"/>
              <w:widowControl w:val="false"/>
              <w:shd w:val="clear" w:color="auto" w:fill="FFFFFF"/>
              <w:jc w:val="both"/>
              <w:rPr>
                <w:highlight w:val="none"/>
                <w:shd w:fill="FFFFFF" w:val="clear"/>
              </w:rPr>
            </w:pPr>
            <w:r>
              <w:rPr>
                <w:shd w:fill="FFFFFF" w:val="clear"/>
              </w:rPr>
              <w:t>Строк розгляду найбільш економічно вигідної пропозиції не повинен перевищувати п’ять робочих днів з дня завершення електронного аукціону.</w:t>
            </w:r>
          </w:p>
          <w:p>
            <w:pPr>
              <w:pStyle w:val="Normal"/>
              <w:widowControl w:val="false"/>
              <w:shd w:val="clear" w:color="auto" w:fill="FFFFFF"/>
              <w:jc w:val="both"/>
              <w:rPr>
                <w:highlight w:val="none"/>
                <w:shd w:fill="FFFFFF" w:val="clear"/>
              </w:rPr>
            </w:pPr>
            <w:r>
              <w:rPr>
                <w:shd w:fill="FFFFFF" w:val="clear"/>
              </w:rPr>
              <w:t>За результатами оцінки та розгляду пропозиції замовник визначає переможця.</w:t>
            </w:r>
          </w:p>
          <w:p>
            <w:pPr>
              <w:pStyle w:val="Normal"/>
              <w:widowControl w:val="false"/>
              <w:shd w:val="clear" w:color="auto" w:fill="FFFFFF"/>
              <w:jc w:val="both"/>
              <w:rPr>
                <w:highlight w:val="none"/>
                <w:shd w:fill="FFFFFF" w:val="clear"/>
              </w:rPr>
            </w:pPr>
            <w:r>
              <w:rPr>
                <w:shd w:fill="FFFFFF" w:val="clear"/>
              </w:rPr>
              <w:t>Повідомлення про намір укласти договір про закупівлю замовник оприлюднює в електронній системі закупівель.</w:t>
            </w:r>
          </w:p>
          <w:p>
            <w:pPr>
              <w:pStyle w:val="Normal"/>
              <w:widowControl w:val="false"/>
              <w:shd w:val="clear" w:color="auto" w:fill="FFFFFF"/>
              <w:jc w:val="both"/>
              <w:rPr>
                <w:highlight w:val="none"/>
                <w:shd w:fill="FFFFFF" w:val="clear"/>
              </w:rPr>
            </w:pPr>
            <w:r>
              <w:rPr>
                <w:shd w:fill="FFFFFF" w:val="clear"/>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hd w:val="clear" w:color="auto" w:fill="FFFFFF"/>
              <w:jc w:val="both"/>
              <w:rPr>
                <w:highlight w:val="none"/>
                <w:shd w:fill="FFFFFF" w:val="clear"/>
              </w:rPr>
            </w:pPr>
            <w:r>
              <w:rPr>
                <w:shd w:fill="FFFFFF" w:val="clear"/>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pPr>
              <w:pStyle w:val="Normal"/>
              <w:widowControl w:val="false"/>
              <w:shd w:val="clear" w:color="auto" w:fill="FFFFFF"/>
              <w:jc w:val="both"/>
              <w:rPr>
                <w:highlight w:val="none"/>
                <w:shd w:fill="FFFFFF" w:val="clear"/>
              </w:rPr>
            </w:pPr>
            <w:r>
              <w:rPr>
                <w:shd w:fill="FFFFFF" w:val="clear"/>
              </w:rPr>
              <w:t>Наступна найбільш економічно вигідна пропозиція визначається електронною системою закупівель автоматично.</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5</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Інша інформація та опис та приклади формальних (несуттєвих) помилок</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0"/>
              <w:contextualSpacing/>
              <w:jc w:val="both"/>
              <w:rPr>
                <w:highlight w:val="none"/>
                <w:shd w:fill="FFFFFF" w:val="clear"/>
              </w:rPr>
            </w:pPr>
            <w:r>
              <w:rPr>
                <w:shd w:fill="FFFFFF" w:val="clear"/>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pPr>
              <w:pStyle w:val="Rvps2"/>
              <w:widowControl w:val="false"/>
              <w:spacing w:before="0" w:after="0"/>
              <w:contextualSpacing/>
              <w:jc w:val="both"/>
              <w:rPr>
                <w:highlight w:val="none"/>
                <w:shd w:fill="FFFFFF" w:val="clear"/>
                <w:lang w:val="uk-UA"/>
              </w:rPr>
            </w:pPr>
            <w:r>
              <w:rPr>
                <w:shd w:fill="FFFFFF" w:val="clear"/>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w:t>
            </w:r>
            <w:r>
              <w:rPr>
                <w:shd w:fill="FFFFFF" w:val="clear"/>
                <w:lang w:val="uk-UA" w:eastAsia="ru-RU"/>
              </w:rPr>
              <w:t>1. Інформація/документ, подана учасником процедури закупівлі у складі пропозиції, містить помилку (помилки) у частині:</w:t>
            </w:r>
          </w:p>
          <w:p>
            <w:pPr>
              <w:pStyle w:val="Normal"/>
              <w:widowControl w:val="false"/>
              <w:suppressAutoHyphens w:val="false"/>
              <w:spacing w:before="0" w:after="0"/>
              <w:contextualSpacing/>
              <w:jc w:val="both"/>
              <w:rPr>
                <w:highlight w:val="none"/>
                <w:shd w:fill="FFFFFF" w:val="clear"/>
              </w:rPr>
            </w:pPr>
            <w:bookmarkStart w:id="4" w:name="n16"/>
            <w:bookmarkEnd w:id="4"/>
            <w:r>
              <w:rPr>
                <w:shd w:fill="FFFFFF" w:val="clear"/>
              </w:rPr>
              <w:t>уживання великої літери;</w:t>
            </w:r>
          </w:p>
          <w:p>
            <w:pPr>
              <w:pStyle w:val="Normal"/>
              <w:widowControl w:val="false"/>
              <w:suppressAutoHyphens w:val="false"/>
              <w:spacing w:before="0" w:after="0"/>
              <w:contextualSpacing/>
              <w:jc w:val="both"/>
              <w:rPr>
                <w:highlight w:val="none"/>
                <w:shd w:fill="FFFFFF" w:val="clear"/>
              </w:rPr>
            </w:pPr>
            <w:bookmarkStart w:id="5" w:name="n17"/>
            <w:bookmarkEnd w:id="5"/>
            <w:r>
              <w:rPr>
                <w:shd w:fill="FFFFFF" w:val="clear"/>
              </w:rPr>
              <w:t>уживання розділових знаків та відмінювання слів у реченні;</w:t>
            </w:r>
          </w:p>
          <w:p>
            <w:pPr>
              <w:pStyle w:val="Normal"/>
              <w:widowControl w:val="false"/>
              <w:suppressAutoHyphens w:val="false"/>
              <w:spacing w:before="0" w:after="0"/>
              <w:contextualSpacing/>
              <w:jc w:val="both"/>
              <w:rPr>
                <w:highlight w:val="none"/>
                <w:shd w:fill="FFFFFF" w:val="clear"/>
              </w:rPr>
            </w:pPr>
            <w:bookmarkStart w:id="6" w:name="n18"/>
            <w:bookmarkEnd w:id="6"/>
            <w:r>
              <w:rPr>
                <w:shd w:fill="FFFFFF" w:val="clear"/>
              </w:rPr>
              <w:t>використання слова або мовного звороту, запозичених з іншої мови;</w:t>
            </w:r>
          </w:p>
          <w:p>
            <w:pPr>
              <w:pStyle w:val="Normal"/>
              <w:widowControl w:val="false"/>
              <w:suppressAutoHyphens w:val="false"/>
              <w:spacing w:before="0" w:after="0"/>
              <w:contextualSpacing/>
              <w:jc w:val="both"/>
              <w:rPr>
                <w:highlight w:val="none"/>
                <w:shd w:fill="FFFFFF" w:val="clear"/>
              </w:rPr>
            </w:pPr>
            <w:bookmarkStart w:id="7" w:name="n19"/>
            <w:bookmarkEnd w:id="7"/>
            <w:r>
              <w:rPr>
                <w:shd w:fill="FFFFFF" w:val="clea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false"/>
              <w:spacing w:before="0" w:after="0"/>
              <w:contextualSpacing/>
              <w:jc w:val="both"/>
              <w:rPr>
                <w:highlight w:val="none"/>
                <w:shd w:fill="FFFFFF" w:val="clear"/>
              </w:rPr>
            </w:pPr>
            <w:bookmarkStart w:id="8" w:name="n20"/>
            <w:bookmarkEnd w:id="8"/>
            <w:r>
              <w:rPr>
                <w:shd w:fill="FFFFFF" w:val="clear"/>
              </w:rPr>
              <w:t>застосування правил переносу частини слова з рядка в рядок;</w:t>
            </w:r>
          </w:p>
          <w:p>
            <w:pPr>
              <w:pStyle w:val="Normal"/>
              <w:widowControl w:val="false"/>
              <w:suppressAutoHyphens w:val="false"/>
              <w:spacing w:before="0" w:after="0"/>
              <w:contextualSpacing/>
              <w:jc w:val="both"/>
              <w:rPr>
                <w:highlight w:val="none"/>
                <w:shd w:fill="FFFFFF" w:val="clear"/>
              </w:rPr>
            </w:pPr>
            <w:bookmarkStart w:id="9" w:name="n21"/>
            <w:bookmarkEnd w:id="9"/>
            <w:r>
              <w:rPr>
                <w:shd w:fill="FFFFFF" w:val="clear"/>
              </w:rPr>
              <w:t>написання слів разом та/або окремо, та/або через дефіс;</w:t>
            </w:r>
          </w:p>
          <w:p>
            <w:pPr>
              <w:pStyle w:val="Normal"/>
              <w:widowControl w:val="false"/>
              <w:suppressAutoHyphens w:val="false"/>
              <w:spacing w:before="0" w:after="0"/>
              <w:contextualSpacing/>
              <w:jc w:val="both"/>
              <w:rPr>
                <w:highlight w:val="none"/>
                <w:shd w:fill="FFFFFF" w:val="clear"/>
              </w:rPr>
            </w:pPr>
            <w:bookmarkStart w:id="10" w:name="n22"/>
            <w:bookmarkEnd w:id="10"/>
            <w:r>
              <w:rPr>
                <w:shd w:fill="FFFFFF" w:val="clea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false"/>
              <w:spacing w:before="0" w:after="0"/>
              <w:contextualSpacing/>
              <w:jc w:val="both"/>
              <w:rPr>
                <w:highlight w:val="none"/>
                <w:shd w:fill="FFFFFF" w:val="clear"/>
              </w:rPr>
            </w:pPr>
            <w:bookmarkStart w:id="11" w:name="n23"/>
            <w:bookmarkEnd w:id="11"/>
            <w:r>
              <w:rPr>
                <w:shd w:fill="FFFFFF" w:val="clear"/>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false"/>
              <w:spacing w:before="0" w:after="0"/>
              <w:contextualSpacing/>
              <w:jc w:val="both"/>
              <w:rPr>
                <w:highlight w:val="none"/>
                <w:shd w:fill="FFFFFF" w:val="clear"/>
              </w:rPr>
            </w:pPr>
            <w:bookmarkStart w:id="12" w:name="n24"/>
            <w:bookmarkEnd w:id="12"/>
            <w:r>
              <w:rPr>
                <w:shd w:fill="FFFFFF" w:val="clear"/>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pPr>
              <w:pStyle w:val="Normal"/>
              <w:widowControl w:val="false"/>
              <w:suppressAutoHyphens w:val="false"/>
              <w:spacing w:before="0" w:after="0"/>
              <w:contextualSpacing/>
              <w:jc w:val="both"/>
              <w:rPr>
                <w:highlight w:val="none"/>
                <w:shd w:fill="FFFFFF" w:val="clear"/>
              </w:rPr>
            </w:pPr>
            <w:bookmarkStart w:id="13" w:name="n25"/>
            <w:bookmarkEnd w:id="13"/>
            <w:r>
              <w:rPr>
                <w:shd w:fill="FFFFFF" w:val="clear"/>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false"/>
              <w:spacing w:before="0" w:after="0"/>
              <w:contextualSpacing/>
              <w:jc w:val="both"/>
              <w:rPr>
                <w:highlight w:val="none"/>
                <w:shd w:fill="FFFFFF" w:val="clear"/>
              </w:rPr>
            </w:pPr>
            <w:bookmarkStart w:id="14" w:name="n26"/>
            <w:bookmarkEnd w:id="14"/>
            <w:r>
              <w:rPr>
                <w:shd w:fill="FFFFFF" w:val="clear"/>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pPr>
              <w:pStyle w:val="Normal"/>
              <w:widowControl w:val="false"/>
              <w:suppressAutoHyphens w:val="false"/>
              <w:spacing w:before="0" w:after="0"/>
              <w:contextualSpacing/>
              <w:jc w:val="both"/>
              <w:rPr>
                <w:highlight w:val="none"/>
                <w:shd w:fill="FFFFFF" w:val="clear"/>
              </w:rPr>
            </w:pPr>
            <w:bookmarkStart w:id="15" w:name="n27"/>
            <w:bookmarkEnd w:id="15"/>
            <w:r>
              <w:rPr>
                <w:shd w:fill="FFFFFF" w:val="clear"/>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false"/>
              <w:spacing w:before="0" w:after="0"/>
              <w:contextualSpacing/>
              <w:jc w:val="both"/>
              <w:rPr>
                <w:highlight w:val="none"/>
                <w:shd w:fill="FFFFFF" w:val="clear"/>
              </w:rPr>
            </w:pPr>
            <w:bookmarkStart w:id="16" w:name="n28"/>
            <w:bookmarkEnd w:id="16"/>
            <w:r>
              <w:rPr>
                <w:shd w:fill="FFFFFF" w:val="clear"/>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pPr>
              <w:pStyle w:val="Normal"/>
              <w:widowControl w:val="false"/>
              <w:suppressAutoHyphens w:val="false"/>
              <w:spacing w:before="0" w:after="0"/>
              <w:contextualSpacing/>
              <w:jc w:val="both"/>
              <w:rPr>
                <w:highlight w:val="none"/>
                <w:shd w:fill="FFFFFF" w:val="clear"/>
              </w:rPr>
            </w:pPr>
            <w:bookmarkStart w:id="17" w:name="n29"/>
            <w:bookmarkEnd w:id="17"/>
            <w:r>
              <w:rPr>
                <w:shd w:fill="FFFFFF" w:val="clear"/>
              </w:rPr>
              <w:t>8. Подання документа учасником процедури закупівлі у складі пропозиції, що є сканованою копією оригіналу документа/електронного документа.</w:t>
            </w:r>
          </w:p>
          <w:p>
            <w:pPr>
              <w:pStyle w:val="Normal"/>
              <w:widowControl w:val="false"/>
              <w:suppressAutoHyphens w:val="false"/>
              <w:spacing w:before="0" w:after="0"/>
              <w:contextualSpacing/>
              <w:jc w:val="both"/>
              <w:rPr>
                <w:highlight w:val="none"/>
                <w:shd w:fill="FFFFFF" w:val="clear"/>
              </w:rPr>
            </w:pPr>
            <w:bookmarkStart w:id="18" w:name="n30"/>
            <w:bookmarkEnd w:id="18"/>
            <w:r>
              <w:rPr>
                <w:shd w:fill="FFFFFF" w:val="clear"/>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false"/>
              <w:spacing w:before="0" w:after="0"/>
              <w:contextualSpacing/>
              <w:jc w:val="both"/>
              <w:rPr>
                <w:highlight w:val="none"/>
                <w:shd w:fill="FFFFFF" w:val="clear"/>
              </w:rPr>
            </w:pPr>
            <w:bookmarkStart w:id="19" w:name="n31"/>
            <w:bookmarkEnd w:id="19"/>
            <w:r>
              <w:rPr>
                <w:shd w:fill="FFFFFF" w:val="clear"/>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false"/>
              <w:spacing w:before="0" w:after="0"/>
              <w:contextualSpacing/>
              <w:jc w:val="both"/>
              <w:rPr>
                <w:highlight w:val="none"/>
                <w:shd w:fill="FFFFFF" w:val="clear"/>
              </w:rPr>
            </w:pPr>
            <w:bookmarkStart w:id="20" w:name="n32"/>
            <w:bookmarkEnd w:id="20"/>
            <w:r>
              <w:rPr>
                <w:shd w:fill="FFFFFF" w:val="clear"/>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false"/>
              <w:spacing w:before="0" w:after="0"/>
              <w:contextualSpacing/>
              <w:jc w:val="both"/>
              <w:rPr>
                <w:highlight w:val="none"/>
                <w:shd w:fill="FFFFFF" w:val="clear"/>
              </w:rPr>
            </w:pPr>
            <w:bookmarkStart w:id="21" w:name="n33"/>
            <w:bookmarkEnd w:id="21"/>
            <w:r>
              <w:rPr>
                <w:shd w:fill="FFFFFF" w:val="clear"/>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shd w:fill="FFFFFF" w:val="clea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Відхилення пропозицій</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color w:val="000000"/>
                <w:highlight w:val="none"/>
                <w:shd w:fill="FFFFFF" w:val="clear"/>
              </w:rPr>
            </w:pPr>
            <w:bookmarkStart w:id="22" w:name="1fob9te"/>
            <w:bookmarkEnd w:id="22"/>
            <w:r>
              <w:rPr>
                <w:color w:val="000000"/>
                <w:shd w:fill="FFFFFF" w:val="clear"/>
              </w:rPr>
              <w:t>Замовник відхиляє пропозицію в разі, якщо:</w:t>
            </w:r>
          </w:p>
          <w:p>
            <w:pPr>
              <w:pStyle w:val="Normal"/>
              <w:widowControl w:val="false"/>
              <w:shd w:val="clear" w:color="auto" w:fill="FFFFFF"/>
              <w:jc w:val="both"/>
              <w:rPr>
                <w:color w:val="000000"/>
                <w:highlight w:val="none"/>
                <w:shd w:fill="FFFFFF" w:val="clear"/>
              </w:rPr>
            </w:pPr>
            <w:r>
              <w:rPr>
                <w:color w:val="000000"/>
                <w:shd w:fill="FFFFFF" w:val="clear"/>
              </w:rPr>
              <w:t>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jc w:val="both"/>
              <w:rPr>
                <w:color w:val="000000"/>
                <w:highlight w:val="none"/>
                <w:shd w:fill="FFFFFF" w:val="clear"/>
              </w:rPr>
            </w:pPr>
            <w:r>
              <w:rPr>
                <w:color w:val="000000"/>
                <w:shd w:fill="FFFFFF" w:val="clear"/>
              </w:rPr>
              <w:t>учасник не надав забезпечення пропозиції, якщо таке забезпечення вимагалося замовником;</w:t>
            </w:r>
          </w:p>
          <w:p>
            <w:pPr>
              <w:pStyle w:val="Normal"/>
              <w:widowControl w:val="false"/>
              <w:jc w:val="both"/>
              <w:rPr>
                <w:color w:val="000000"/>
                <w:highlight w:val="none"/>
                <w:shd w:fill="FFFFFF" w:val="clear"/>
              </w:rPr>
            </w:pPr>
            <w:r>
              <w:rPr>
                <w:color w:val="000000"/>
                <w:shd w:fill="FFFFFF" w:val="clear"/>
              </w:rPr>
              <w:t>учасник, який визначений переможцем спрощеної закупівлі, відмовився від укладення договору про закупівлю;</w:t>
            </w:r>
          </w:p>
          <w:p>
            <w:pPr>
              <w:pStyle w:val="Normal"/>
              <w:widowControl w:val="false"/>
              <w:jc w:val="both"/>
              <w:rPr>
                <w:color w:val="000000"/>
                <w:highlight w:val="none"/>
                <w:shd w:fill="FFFFFF" w:val="clear"/>
              </w:rPr>
            </w:pPr>
            <w:r>
              <w:rPr>
                <w:color w:val="000000"/>
                <w:shd w:fill="FFFFFF" w:val="clear"/>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widowControl w:val="false"/>
              <w:jc w:val="both"/>
              <w:rPr>
                <w:highlight w:val="none"/>
                <w:shd w:fill="FFFFFF" w:val="clear"/>
              </w:rPr>
            </w:pPr>
            <w:r>
              <w:rPr>
                <w:shd w:fill="FFFFFF" w:val="clear"/>
              </w:rP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shd w:fill="FFFFFF" w:val="clear"/>
              </w:rPr>
              <w:t>не відповідає умовам, визначеним в оголошенні про проведення спрощеної закупівлі, та вимогам до предмета закупівлі.</w:t>
            </w:r>
          </w:p>
          <w:p>
            <w:pPr>
              <w:pStyle w:val="Normal"/>
              <w:widowControl w:val="false"/>
              <w:shd w:val="clear" w:color="auto" w:fill="FFFFFF"/>
              <w:jc w:val="both"/>
              <w:rPr>
                <w:color w:val="000000"/>
                <w:highlight w:val="none"/>
                <w:shd w:fill="FFFFFF" w:val="clear"/>
              </w:rPr>
            </w:pPr>
            <w:r>
              <w:rPr>
                <w:color w:val="000000"/>
                <w:shd w:fill="FFFFFF" w:val="clear"/>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widowControl w:val="false"/>
              <w:shd w:val="clear" w:color="auto" w:fill="FFFFFF"/>
              <w:jc w:val="both"/>
              <w:rPr>
                <w:highlight w:val="none"/>
                <w:shd w:fill="FFFFFF" w:val="clear"/>
              </w:rPr>
            </w:pPr>
            <w:r>
              <w:rPr>
                <w:color w:val="000000"/>
                <w:shd w:fill="FFFFFF" w:val="clear"/>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trPr>
          <w:trHeight w:val="520" w:hRule="atLeast"/>
        </w:trPr>
        <w:tc>
          <w:tcPr>
            <w:tcW w:w="1003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hanging="20"/>
              <w:jc w:val="center"/>
              <w:rPr>
                <w:highlight w:val="none"/>
                <w:shd w:fill="FFFFFF" w:val="clear"/>
              </w:rPr>
            </w:pPr>
            <w:r>
              <w:rPr>
                <w:b/>
                <w:shd w:fill="FFFFFF" w:val="clear"/>
              </w:rPr>
              <w:t>VI. Результати закупівлі та укладання договору про закупівлю</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1</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Відміна закупівлі</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bookmarkStart w:id="23" w:name="3znysh7"/>
            <w:bookmarkEnd w:id="23"/>
            <w:r>
              <w:rPr>
                <w:shd w:fill="FFFFFF" w:val="clear"/>
              </w:rPr>
              <w:t>Замовник відміняє спрощену закупівлю в разі:</w:t>
            </w:r>
          </w:p>
          <w:p>
            <w:pPr>
              <w:pStyle w:val="Normal"/>
              <w:widowControl w:val="false"/>
              <w:shd w:val="clear" w:color="auto" w:fill="FFFFFF"/>
              <w:jc w:val="both"/>
              <w:rPr>
                <w:highlight w:val="none"/>
                <w:shd w:fill="FFFFFF" w:val="clear"/>
              </w:rPr>
            </w:pPr>
            <w:r>
              <w:rPr>
                <w:shd w:fill="FFFFFF" w:val="clear"/>
              </w:rPr>
              <w:t>1) відсутності подальшої потреби в закупівлі товарів, робіт і послуг;</w:t>
            </w:r>
          </w:p>
          <w:p>
            <w:pPr>
              <w:pStyle w:val="Normal"/>
              <w:widowControl w:val="false"/>
              <w:shd w:val="clear" w:color="auto" w:fill="FFFFFF"/>
              <w:jc w:val="both"/>
              <w:rPr>
                <w:highlight w:val="none"/>
                <w:shd w:fill="FFFFFF" w:val="clear"/>
              </w:rPr>
            </w:pPr>
            <w:r>
              <w:rPr>
                <w:shd w:fill="FFFFFF" w:val="clear"/>
              </w:rPr>
              <w:t>2) неможливості усунення порушень, що виникли через виявлені порушення законодавства з питань публічних закупівель;</w:t>
            </w:r>
          </w:p>
          <w:p>
            <w:pPr>
              <w:pStyle w:val="Normal"/>
              <w:widowControl w:val="false"/>
              <w:shd w:val="clear" w:color="auto" w:fill="FFFFFF"/>
              <w:jc w:val="both"/>
              <w:rPr>
                <w:highlight w:val="none"/>
                <w:shd w:fill="FFFFFF" w:val="clear"/>
              </w:rPr>
            </w:pPr>
            <w:r>
              <w:rPr>
                <w:shd w:fill="FFFFFF" w:val="clear"/>
              </w:rPr>
              <w:t>3) скорочення видатків на здійснення закупівлі товарів, робіт і послуг.</w:t>
            </w:r>
          </w:p>
          <w:p>
            <w:pPr>
              <w:pStyle w:val="Normal"/>
              <w:widowControl w:val="false"/>
              <w:shd w:val="clear" w:color="auto" w:fill="FFFFFF"/>
              <w:jc w:val="both"/>
              <w:rPr>
                <w:highlight w:val="none"/>
                <w:shd w:fill="FFFFFF" w:val="clear"/>
              </w:rPr>
            </w:pPr>
            <w:r>
              <w:rPr>
                <w:shd w:fill="FFFFFF" w:val="clear"/>
              </w:rPr>
              <w:t>Спрощена закупівля автоматично відміняється електронною системою закупівель у разі:</w:t>
            </w:r>
          </w:p>
          <w:p>
            <w:pPr>
              <w:pStyle w:val="Normal"/>
              <w:widowControl w:val="false"/>
              <w:shd w:val="clear" w:color="auto" w:fill="FFFFFF"/>
              <w:jc w:val="both"/>
              <w:rPr>
                <w:highlight w:val="none"/>
                <w:shd w:fill="FFFFFF" w:val="clear"/>
              </w:rPr>
            </w:pPr>
            <w:r>
              <w:rPr>
                <w:shd w:fill="FFFFFF" w:val="clear"/>
              </w:rPr>
              <w:t>1) відхилення всіх пропозицій згідно з частиною 13 статті 14 Закону;</w:t>
            </w:r>
          </w:p>
          <w:p>
            <w:pPr>
              <w:pStyle w:val="Normal"/>
              <w:widowControl w:val="false"/>
              <w:shd w:val="clear" w:color="auto" w:fill="FFFFFF"/>
              <w:jc w:val="both"/>
              <w:rPr>
                <w:highlight w:val="none"/>
                <w:shd w:fill="FFFFFF" w:val="clear"/>
              </w:rPr>
            </w:pPr>
            <w:r>
              <w:rPr>
                <w:shd w:fill="FFFFFF" w:val="clear"/>
              </w:rPr>
              <w:t>2) відсутності пропозицій учасників для участі в ній.</w:t>
            </w:r>
          </w:p>
          <w:p>
            <w:pPr>
              <w:pStyle w:val="Normal"/>
              <w:widowControl w:val="false"/>
              <w:shd w:val="clear" w:color="auto" w:fill="FFFFFF"/>
              <w:jc w:val="both"/>
              <w:rPr>
                <w:highlight w:val="none"/>
                <w:shd w:fill="FFFFFF" w:val="clear"/>
              </w:rPr>
            </w:pPr>
            <w:r>
              <w:rPr>
                <w:shd w:fill="FFFFFF" w:val="clear"/>
              </w:rPr>
              <w:t>Спрощена закупівля може бути відмінена частково (за лотом).</w:t>
            </w:r>
          </w:p>
          <w:p>
            <w:pPr>
              <w:pStyle w:val="Normal"/>
              <w:widowControl w:val="false"/>
              <w:shd w:val="clear" w:color="auto" w:fill="FFFFFF"/>
              <w:jc w:val="both"/>
              <w:rPr>
                <w:highlight w:val="none"/>
                <w:shd w:fill="FFFFFF" w:val="clear"/>
              </w:rPr>
            </w:pPr>
            <w:r>
              <w:rPr>
                <w:shd w:fill="FFFFFF" w:val="clear"/>
              </w:rPr>
              <w:t>Повідомлення про відміну закупівлі оприлюднюється в електронній системі закупівель:</w:t>
            </w:r>
          </w:p>
          <w:p>
            <w:pPr>
              <w:pStyle w:val="Normal"/>
              <w:widowControl w:val="false"/>
              <w:shd w:val="clear" w:color="auto" w:fill="FFFFFF"/>
              <w:jc w:val="both"/>
              <w:rPr>
                <w:highlight w:val="none"/>
                <w:shd w:fill="FFFFFF" w:val="clear"/>
              </w:rPr>
            </w:pPr>
            <w:r>
              <w:rPr>
                <w:shd w:fill="FFFFFF" w:val="clear"/>
              </w:rPr>
              <w:t>замовником протягом одного робочого дня з дня прийняття замовником відповідного рішення;</w:t>
            </w:r>
          </w:p>
          <w:p>
            <w:pPr>
              <w:pStyle w:val="Normal"/>
              <w:widowControl w:val="false"/>
              <w:shd w:val="clear" w:color="auto" w:fill="FFFFFF"/>
              <w:jc w:val="both"/>
              <w:rPr>
                <w:highlight w:val="none"/>
                <w:shd w:fill="FFFFFF" w:val="clear"/>
              </w:rPr>
            </w:pPr>
            <w:r>
              <w:rPr>
                <w:shd w:fill="FFFFFF" w:val="clear"/>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pPr>
              <w:pStyle w:val="Normal"/>
              <w:widowControl w:val="false"/>
              <w:shd w:val="clear" w:color="auto" w:fill="FFFFFF"/>
              <w:jc w:val="both"/>
              <w:rPr>
                <w:highlight w:val="none"/>
                <w:shd w:fill="FFFFFF" w:val="clear"/>
              </w:rPr>
            </w:pPr>
            <w:r>
              <w:rPr>
                <w:shd w:fill="FFFFFF" w:val="clear"/>
              </w:rPr>
              <w:t>Повідомлення про відміну закупівлі автоматично надсилається всім учасникам електронною системою закупівель в день його оприлюднення</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2</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Строк укладання договору</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color w:val="333333"/>
                <w:highlight w:val="none"/>
                <w:shd w:fill="FFFFFF" w:val="clear"/>
              </w:rPr>
            </w:pPr>
            <w:r>
              <w:rPr>
                <w:color w:val="333333"/>
                <w:shd w:fill="FFFFFF" w:val="clear"/>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widowControl w:val="false"/>
              <w:shd w:val="clear" w:color="auto" w:fill="FFFFFF"/>
              <w:jc w:val="both"/>
              <w:rPr>
                <w:highlight w:val="none"/>
                <w:shd w:fill="FFFFFF" w:val="clear"/>
              </w:rPr>
            </w:pPr>
            <w:r>
              <w:rPr>
                <w:shd w:fill="FFFFFF" w:val="clear"/>
              </w:rPr>
              <w:t>Договір про закупівлю укладається згідно з вимогами статті 41 Закону</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3</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Проект договору про закупівлю з обов’язковим зазначенням порядку змін його умов</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 xml:space="preserve">Проект договору про закупівлю з обов’язковим зазначенням порядку змін його умов наведений у </w:t>
            </w:r>
            <w:r>
              <w:rPr>
                <w:b/>
                <w:bCs/>
                <w:shd w:fill="FFFFFF" w:val="clear"/>
              </w:rPr>
              <w:t>додатку 4</w:t>
            </w:r>
            <w:r>
              <w:rPr>
                <w:shd w:fill="FFFFFF" w:val="clear"/>
              </w:rPr>
              <w:t xml:space="preserve"> цієї документації.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4</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b/>
                <w:b/>
                <w:highlight w:val="none"/>
                <w:shd w:fill="FFFFFF" w:val="clear"/>
              </w:rPr>
            </w:pPr>
            <w:bookmarkStart w:id="24" w:name="_2et92p0"/>
            <w:bookmarkEnd w:id="24"/>
            <w:r>
              <w:rPr>
                <w:b/>
                <w:shd w:fill="FFFFFF" w:val="clear"/>
              </w:rPr>
              <w:t>Істотні умови, що обов’язково включаються до договору про закупівлю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 xml:space="preserve">Істотні умови, що обов’язково включаються до договору про закупівлю викладено в проекті договору, який наведений у </w:t>
            </w:r>
            <w:r>
              <w:rPr>
                <w:b/>
                <w:bCs/>
                <w:shd w:fill="FFFFFF" w:val="clear"/>
              </w:rPr>
              <w:t>додатку 4</w:t>
            </w:r>
            <w:r>
              <w:rPr>
                <w:shd w:fill="FFFFFF" w:val="clear"/>
              </w:rPr>
              <w:t xml:space="preserve"> цієї документації.</w:t>
            </w:r>
          </w:p>
        </w:tc>
      </w:tr>
      <w:tr>
        <w:trPr>
          <w:trHeight w:val="520" w:hRule="atLeas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highlight w:val="none"/>
                <w:shd w:fill="FFFFFF" w:val="clear"/>
              </w:rPr>
            </w:pPr>
            <w:r>
              <w:rPr>
                <w:shd w:fill="FFFFFF" w:val="clear"/>
              </w:rPr>
              <w:t>6</w:t>
            </w:r>
          </w:p>
        </w:tc>
        <w:tc>
          <w:tcPr>
            <w:tcW w:w="27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rPr>
                <w:highlight w:val="none"/>
                <w:shd w:fill="FFFFFF" w:val="clear"/>
              </w:rPr>
            </w:pPr>
            <w:r>
              <w:rPr>
                <w:b/>
                <w:shd w:fill="FFFFFF" w:val="clear"/>
              </w:rPr>
              <w:t>Розмір, вид, строк та умови надання, повернення та неповернення забезпечення виконання договору про закупівлю</w:t>
            </w:r>
          </w:p>
        </w:tc>
        <w:tc>
          <w:tcPr>
            <w:tcW w:w="66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bCs/>
                <w:color w:val="000000"/>
                <w:highlight w:val="none"/>
                <w:shd w:fill="FFFFFF" w:val="clear"/>
              </w:rPr>
            </w:pPr>
            <w:r>
              <w:rPr>
                <w:bCs/>
                <w:color w:val="000000"/>
                <w:shd w:fill="FFFFFF" w:val="clear"/>
              </w:rPr>
              <w:t>не вимагається</w:t>
            </w:r>
          </w:p>
        </w:tc>
      </w:tr>
    </w:tbl>
    <w:p>
      <w:pPr>
        <w:pStyle w:val="Normal"/>
        <w:shd w:val="clear" w:color="auto" w:fill="FFFFFF"/>
        <w:ind w:left="8364" w:hanging="0"/>
        <w:jc w:val="right"/>
        <w:rPr>
          <w:highlight w:val="none"/>
          <w:shd w:fill="FFFFFF" w:val="clear"/>
        </w:rPr>
      </w:pPr>
      <w:r>
        <w:br w:type="page"/>
      </w:r>
      <w:r>
        <w:rPr>
          <w:b/>
          <w:shd w:fill="FFFFFF" w:val="clear"/>
        </w:rPr>
        <w:t>Додаток 1</w:t>
      </w:r>
    </w:p>
    <w:p>
      <w:pPr>
        <w:pStyle w:val="Normal"/>
        <w:shd w:val="clear" w:color="auto" w:fill="FFFFFF"/>
        <w:jc w:val="right"/>
        <w:rPr>
          <w:highlight w:val="none"/>
          <w:shd w:fill="FFFFFF" w:val="clear"/>
        </w:rPr>
      </w:pPr>
      <w:r>
        <w:rPr>
          <w:shd w:fill="FFFFFF" w:val="clear"/>
        </w:rPr>
        <w:t>до документації</w:t>
      </w:r>
    </w:p>
    <w:p>
      <w:pPr>
        <w:pStyle w:val="Normal"/>
        <w:shd w:val="clear" w:color="auto" w:fill="FFFFFF"/>
        <w:ind w:firstLine="425"/>
        <w:jc w:val="both"/>
        <w:rPr>
          <w:highlight w:val="none"/>
          <w:shd w:fill="FFFFFF" w:val="clear"/>
        </w:rPr>
      </w:pPr>
      <w:r>
        <w:rPr>
          <w:shd w:fill="FFFFFF" w:val="clear"/>
        </w:rPr>
      </w:r>
    </w:p>
    <w:p>
      <w:pPr>
        <w:pStyle w:val="Normal"/>
        <w:widowControl w:val="false"/>
        <w:shd w:val="clear" w:color="auto" w:fill="FFFFFF"/>
        <w:ind w:firstLine="425"/>
        <w:jc w:val="center"/>
        <w:rPr>
          <w:highlight w:val="none"/>
          <w:shd w:fill="FFFFFF" w:val="clear"/>
        </w:rPr>
      </w:pPr>
      <w:r>
        <w:rPr>
          <w:b/>
          <w:shd w:fill="FFFFFF" w:val="clear"/>
        </w:rPr>
        <w:t>Перелік документів,</w:t>
      </w:r>
    </w:p>
    <w:p>
      <w:pPr>
        <w:pStyle w:val="Normal"/>
        <w:widowControl w:val="false"/>
        <w:shd w:val="clear" w:color="auto" w:fill="FFFFFF"/>
        <w:ind w:firstLine="425"/>
        <w:jc w:val="center"/>
        <w:rPr>
          <w:highlight w:val="none"/>
          <w:shd w:fill="FFFFFF" w:val="clear"/>
        </w:rPr>
      </w:pPr>
      <w:r>
        <w:rPr>
          <w:b/>
          <w:shd w:fill="FFFFFF" w:val="clear"/>
        </w:rPr>
        <w:t>які повинні бути завантажені учасником у складі пропозиції</w:t>
      </w:r>
    </w:p>
    <w:p>
      <w:pPr>
        <w:pStyle w:val="Normal"/>
        <w:shd w:val="clear" w:color="auto" w:fill="FFFFFF"/>
        <w:rPr>
          <w:sz w:val="16"/>
          <w:szCs w:val="16"/>
          <w:highlight w:val="none"/>
          <w:shd w:fill="FFFFFF" w:val="clear"/>
        </w:rPr>
      </w:pPr>
      <w:r>
        <w:rPr>
          <w:sz w:val="16"/>
          <w:szCs w:val="16"/>
          <w:shd w:fill="FFFFFF" w:val="clear"/>
        </w:rPr>
      </w:r>
    </w:p>
    <w:p>
      <w:pPr>
        <w:pStyle w:val="Normal"/>
        <w:widowControl w:val="false"/>
        <w:shd w:val="clear" w:color="auto" w:fill="FFFFFF"/>
        <w:ind w:firstLine="426"/>
        <w:jc w:val="both"/>
        <w:rPr>
          <w:highlight w:val="none"/>
          <w:shd w:fill="FFFFFF" w:val="clear"/>
        </w:rPr>
      </w:pPr>
      <w:r>
        <w:rPr>
          <w:shd w:fill="FFFFFF" w:val="clear"/>
        </w:rPr>
        <w:t xml:space="preserve">1. Інформація та документи, що підтверджують відповідність учасника вимогам: документи  згідно </w:t>
      </w:r>
      <w:r>
        <w:rPr>
          <w:b/>
          <w:shd w:fill="FFFFFF" w:val="clear"/>
        </w:rPr>
        <w:t>додатку 1.1 до документації.</w:t>
      </w:r>
    </w:p>
    <w:p>
      <w:pPr>
        <w:pStyle w:val="Normal"/>
        <w:widowControl w:val="false"/>
        <w:shd w:val="clear" w:color="auto" w:fill="FFFFFF"/>
        <w:ind w:firstLine="426"/>
        <w:jc w:val="both"/>
        <w:rPr>
          <w:highlight w:val="none"/>
          <w:shd w:fill="FFFFFF" w:val="clear"/>
        </w:rPr>
      </w:pPr>
      <w:r>
        <w:rPr>
          <w:shd w:fill="FFFFFF" w:val="clear"/>
        </w:rPr>
      </w:r>
    </w:p>
    <w:p>
      <w:pPr>
        <w:pStyle w:val="Normal"/>
        <w:widowControl w:val="false"/>
        <w:shd w:val="clear" w:color="auto" w:fill="FFFFFF"/>
        <w:ind w:firstLine="426"/>
        <w:jc w:val="both"/>
        <w:rPr>
          <w:highlight w:val="none"/>
          <w:shd w:fill="FFFFFF" w:val="clear"/>
        </w:rPr>
      </w:pPr>
      <w:r>
        <w:rPr>
          <w:shd w:fill="FFFFFF" w:val="clear"/>
        </w:rPr>
        <w:t>2. Інформація про необхідні технічні, якісні та кількісні характеристики предмета закупівлі, а саме:</w:t>
      </w:r>
    </w:p>
    <w:p>
      <w:pPr>
        <w:pStyle w:val="Normal"/>
        <w:jc w:val="both"/>
        <w:rPr>
          <w:color w:val="FF0000"/>
          <w:highlight w:val="none"/>
          <w:shd w:fill="FFFFFF" w:val="clear"/>
        </w:rPr>
      </w:pPr>
      <w:r>
        <w:rPr>
          <w:color w:val="FF0000"/>
          <w:shd w:fill="FFFFFF" w:val="clear"/>
        </w:rPr>
      </w:r>
    </w:p>
    <w:p>
      <w:pPr>
        <w:pStyle w:val="Normal"/>
        <w:widowControl w:val="false"/>
        <w:ind w:firstLine="426"/>
        <w:jc w:val="both"/>
        <w:rPr>
          <w:highlight w:val="none"/>
          <w:shd w:fill="FFFFFF" w:val="clear"/>
        </w:rPr>
      </w:pPr>
      <w:r>
        <w:rPr>
          <w:b/>
          <w:shd w:fill="FFFFFF" w:val="clear"/>
        </w:rPr>
        <w:t>згода</w:t>
      </w:r>
      <w:r>
        <w:rPr>
          <w:shd w:fill="FFFFFF" w:val="clear"/>
        </w:rPr>
        <w:t xml:space="preserve"> з умовами та вимогами, які визначені у технічній специфікації (</w:t>
      </w:r>
      <w:r>
        <w:rPr>
          <w:b/>
          <w:shd w:fill="FFFFFF" w:val="clear"/>
        </w:rPr>
        <w:t>додаток 2 до документації</w:t>
      </w:r>
      <w:r>
        <w:rPr>
          <w:shd w:fill="FFFFFF" w:val="clear"/>
        </w:rPr>
        <w:t xml:space="preserve">) та гарантування їх виконання </w:t>
      </w:r>
      <w:r>
        <w:rPr>
          <w:b/>
          <w:shd w:fill="FFFFFF" w:val="clear"/>
        </w:rPr>
        <w:t>у вигляді підписаної технічної специфікації або у вигляді довідки в довільній формі</w:t>
      </w:r>
    </w:p>
    <w:p>
      <w:pPr>
        <w:pStyle w:val="Normal"/>
        <w:widowControl w:val="false"/>
        <w:shd w:val="clear" w:color="auto" w:fill="FFFFFF"/>
        <w:ind w:firstLine="426"/>
        <w:jc w:val="both"/>
        <w:rPr>
          <w:highlight w:val="none"/>
          <w:shd w:fill="FFFFFF" w:val="clear"/>
        </w:rPr>
      </w:pPr>
      <w:r>
        <w:rPr>
          <w:shd w:fill="FFFFFF" w:val="clear"/>
        </w:rPr>
      </w:r>
    </w:p>
    <w:p>
      <w:pPr>
        <w:pStyle w:val="Normal"/>
        <w:widowControl w:val="false"/>
        <w:shd w:val="clear" w:color="auto" w:fill="FFFFFF"/>
        <w:ind w:firstLine="426"/>
        <w:jc w:val="both"/>
        <w:rPr>
          <w:highlight w:val="none"/>
          <w:shd w:fill="FFFFFF" w:val="clear"/>
        </w:rPr>
      </w:pPr>
      <w:r>
        <w:rPr>
          <w:shd w:fill="FFFFFF" w:val="clear"/>
        </w:rPr>
        <w:t>3. Документи, що підтверджують повноваження щодо підпису документів пропозиції:</w:t>
      </w:r>
    </w:p>
    <w:p>
      <w:pPr>
        <w:pStyle w:val="Normal"/>
        <w:widowControl w:val="false"/>
        <w:shd w:val="clear" w:color="auto" w:fill="FFFFFF"/>
        <w:ind w:firstLine="426"/>
        <w:jc w:val="both"/>
        <w:rPr>
          <w:highlight w:val="none"/>
          <w:shd w:fill="FFFFFF" w:val="clear"/>
        </w:rPr>
      </w:pPr>
      <w:r>
        <w:rPr>
          <w:shd w:fill="FFFFFF" w:val="clear"/>
        </w:rPr>
        <w:t xml:space="preserve">- </w:t>
      </w:r>
      <w:r>
        <w:rPr>
          <w:b/>
          <w:shd w:fill="FFFFFF" w:val="clear"/>
        </w:rPr>
        <w:t>для посадової особи або представника учасника закупівл</w:t>
      </w:r>
      <w:r>
        <w:rPr>
          <w:shd w:fill="FFFFFF" w:val="clear"/>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ind w:firstLine="426"/>
        <w:jc w:val="both"/>
        <w:rPr>
          <w:highlight w:val="none"/>
          <w:shd w:fill="FFFFFF" w:val="clear"/>
        </w:rPr>
      </w:pPr>
      <w:r>
        <w:rPr>
          <w:shd w:fill="FFFFFF" w:val="clear"/>
        </w:rPr>
        <w:t xml:space="preserve">- </w:t>
      </w:r>
      <w:r>
        <w:rPr>
          <w:b/>
          <w:shd w:fill="FFFFFF" w:val="clear"/>
        </w:rPr>
        <w:t>для фізичної особи</w:t>
      </w:r>
      <w:r>
        <w:rPr>
          <w:shd w:fill="FFFFFF" w:val="clear"/>
        </w:rPr>
        <w:t>, у тому числі фізичної особи-підприємця: не вимагається.</w:t>
      </w:r>
    </w:p>
    <w:p>
      <w:pPr>
        <w:pStyle w:val="Normal"/>
        <w:widowControl w:val="false"/>
        <w:shd w:val="clear" w:color="auto" w:fill="FFFFFF"/>
        <w:ind w:firstLine="426"/>
        <w:jc w:val="both"/>
        <w:rPr>
          <w:highlight w:val="none"/>
          <w:shd w:fill="FFFFFF" w:val="clear"/>
        </w:rPr>
      </w:pPr>
      <w:r>
        <w:rPr>
          <w:shd w:fill="FFFFFF" w:val="clear"/>
        </w:rPr>
      </w:r>
    </w:p>
    <w:p>
      <w:pPr>
        <w:pStyle w:val="Normal"/>
        <w:widowControl w:val="false"/>
        <w:shd w:val="clear" w:color="auto" w:fill="FFFFFF"/>
        <w:ind w:firstLine="426"/>
        <w:jc w:val="both"/>
        <w:rPr>
          <w:highlight w:val="none"/>
          <w:shd w:fill="FFFFFF" w:val="clear"/>
        </w:rPr>
      </w:pPr>
      <w:r>
        <w:rPr>
          <w:shd w:fill="FFFFFF" w:val="clear"/>
        </w:rPr>
        <w:t>4. Відомості про учасника (</w:t>
      </w:r>
      <w:r>
        <w:rPr>
          <w:b/>
          <w:shd w:fill="FFFFFF" w:val="clear"/>
        </w:rPr>
        <w:t>згідно додатку 3</w:t>
      </w:r>
      <w:r>
        <w:rPr>
          <w:shd w:fill="FFFFFF" w:val="clear"/>
        </w:rPr>
        <w:t xml:space="preserve"> </w:t>
      </w:r>
      <w:r>
        <w:rPr>
          <w:b/>
          <w:shd w:fill="FFFFFF" w:val="clear"/>
        </w:rPr>
        <w:t>до документації</w:t>
      </w:r>
      <w:r>
        <w:rPr>
          <w:shd w:fill="FFFFFF" w:val="clear"/>
        </w:rPr>
        <w:t>).</w:t>
      </w:r>
    </w:p>
    <w:p>
      <w:pPr>
        <w:pStyle w:val="Normal"/>
        <w:widowControl w:val="false"/>
        <w:shd w:val="clear" w:color="auto" w:fill="FFFFFF"/>
        <w:jc w:val="both"/>
        <w:rPr>
          <w:highlight w:val="none"/>
          <w:shd w:fill="FFFFFF" w:val="clear"/>
        </w:rPr>
      </w:pPr>
      <w:r>
        <w:rPr>
          <w:shd w:fill="FFFFFF" w:val="clear"/>
        </w:rPr>
      </w:r>
    </w:p>
    <w:p>
      <w:pPr>
        <w:pStyle w:val="Normal"/>
        <w:widowControl w:val="false"/>
        <w:shd w:val="clear" w:color="auto" w:fill="FFFFFF"/>
        <w:ind w:firstLine="426"/>
        <w:jc w:val="both"/>
        <w:rPr>
          <w:highlight w:val="none"/>
          <w:shd w:fill="FFFFFF" w:val="clear"/>
        </w:rPr>
      </w:pPr>
      <w:r>
        <w:rPr>
          <w:shd w:fill="FFFFFF" w:val="clear"/>
        </w:rPr>
        <w:t xml:space="preserve">5. Документ про створення об’єднання учасників - у разі якщо пропозиція подається об’єднанням учасників  </w:t>
      </w:r>
    </w:p>
    <w:p>
      <w:pPr>
        <w:pStyle w:val="Normal"/>
        <w:widowControl w:val="false"/>
        <w:shd w:val="clear" w:color="auto" w:fill="FFFFFF"/>
        <w:ind w:firstLine="425"/>
        <w:jc w:val="both"/>
        <w:rPr>
          <w:highlight w:val="none"/>
          <w:shd w:fill="FFFFFF" w:val="clear"/>
        </w:rPr>
      </w:pPr>
      <w:r>
        <w:rPr>
          <w:shd w:fill="FFFFFF" w:val="clear"/>
        </w:rPr>
        <w:t xml:space="preserve"> </w:t>
      </w:r>
    </w:p>
    <w:p>
      <w:pPr>
        <w:pStyle w:val="Normal"/>
        <w:widowControl w:val="false"/>
        <w:shd w:val="clear" w:color="auto" w:fill="FFFFFF"/>
        <w:ind w:firstLine="348"/>
        <w:jc w:val="both"/>
        <w:rPr>
          <w:highlight w:val="none"/>
          <w:shd w:fill="FFFFFF" w:val="clear"/>
        </w:rPr>
      </w:pPr>
      <w:r>
        <w:rPr>
          <w:shd w:fill="FFFFFF" w:val="clear"/>
        </w:rPr>
      </w:r>
      <w:r>
        <w:br w:type="page"/>
      </w:r>
    </w:p>
    <w:p>
      <w:pPr>
        <w:pStyle w:val="Normal"/>
        <w:shd w:val="clear" w:color="auto" w:fill="FFFFFF"/>
        <w:ind w:firstLine="348"/>
        <w:jc w:val="both"/>
        <w:rPr>
          <w:sz w:val="20"/>
          <w:szCs w:val="20"/>
          <w:highlight w:val="none"/>
          <w:shd w:fill="FFFFFF" w:val="clear"/>
        </w:rPr>
      </w:pPr>
      <w:r>
        <w:rPr>
          <w:sz w:val="20"/>
          <w:szCs w:val="20"/>
          <w:shd w:fill="FFFFFF" w:val="clear"/>
        </w:rPr>
      </w:r>
    </w:p>
    <w:p>
      <w:pPr>
        <w:pStyle w:val="Normal"/>
        <w:shd w:val="clear" w:color="auto" w:fill="FFFFFF"/>
        <w:ind w:left="8364" w:hanging="0"/>
        <w:jc w:val="right"/>
        <w:rPr>
          <w:highlight w:val="none"/>
          <w:shd w:fill="FFFFFF" w:val="clear"/>
        </w:rPr>
      </w:pPr>
      <w:r>
        <w:rPr>
          <w:b/>
          <w:shd w:fill="FFFFFF" w:val="clear"/>
        </w:rPr>
        <w:t>Додаток 1.1</w:t>
      </w:r>
    </w:p>
    <w:p>
      <w:pPr>
        <w:pStyle w:val="Normal"/>
        <w:shd w:val="clear" w:color="auto" w:fill="FFFFFF"/>
        <w:jc w:val="right"/>
        <w:rPr>
          <w:highlight w:val="none"/>
          <w:shd w:fill="FFFFFF" w:val="clear"/>
        </w:rPr>
      </w:pPr>
      <w:r>
        <w:rPr>
          <w:shd w:fill="FFFFFF" w:val="clear"/>
        </w:rPr>
        <w:t>до документації</w:t>
      </w:r>
    </w:p>
    <w:p>
      <w:pPr>
        <w:pStyle w:val="Normal"/>
        <w:shd w:val="clear" w:color="auto" w:fill="FFFFFF"/>
        <w:ind w:firstLine="425"/>
        <w:jc w:val="center"/>
        <w:rPr>
          <w:b/>
          <w:b/>
          <w:highlight w:val="none"/>
          <w:shd w:fill="FFFFFF" w:val="clear"/>
        </w:rPr>
      </w:pPr>
      <w:r>
        <w:rPr>
          <w:b/>
          <w:shd w:fill="FFFFFF" w:val="clear"/>
        </w:rPr>
      </w:r>
    </w:p>
    <w:p>
      <w:pPr>
        <w:pStyle w:val="Normal"/>
        <w:shd w:val="clear" w:color="auto" w:fill="FFFFFF"/>
        <w:ind w:firstLine="425"/>
        <w:jc w:val="center"/>
        <w:rPr>
          <w:highlight w:val="none"/>
          <w:shd w:fill="FFFFFF" w:val="clear"/>
        </w:rPr>
      </w:pPr>
      <w:r>
        <w:rPr>
          <w:b/>
          <w:shd w:fill="FFFFFF" w:val="clear"/>
        </w:rPr>
        <w:t>Інформація та документи, що підтверджують відповідність вимогам *</w:t>
      </w:r>
    </w:p>
    <w:p>
      <w:pPr>
        <w:pStyle w:val="Normal"/>
        <w:shd w:val="clear" w:color="auto" w:fill="FFFFFF"/>
        <w:jc w:val="both"/>
        <w:rPr>
          <w:color w:val="FF0000"/>
          <w:highlight w:val="none"/>
          <w:shd w:fill="FFFFFF" w:val="clear"/>
        </w:rPr>
      </w:pPr>
      <w:r>
        <w:rPr>
          <w:color w:val="FF0000"/>
          <w:shd w:fill="FFFFFF" w:val="clear"/>
        </w:rPr>
      </w:r>
    </w:p>
    <w:tbl>
      <w:tblPr>
        <w:tblW w:w="9782" w:type="dxa"/>
        <w:jc w:val="center"/>
        <w:tblInd w:w="0" w:type="dxa"/>
        <w:tblLayout w:type="fixed"/>
        <w:tblCellMar>
          <w:top w:w="0" w:type="dxa"/>
          <w:left w:w="108" w:type="dxa"/>
          <w:bottom w:w="0" w:type="dxa"/>
          <w:right w:w="108" w:type="dxa"/>
        </w:tblCellMar>
        <w:tblLook w:val="0000"/>
      </w:tblPr>
      <w:tblGrid>
        <w:gridCol w:w="2822"/>
        <w:gridCol w:w="6959"/>
      </w:tblGrid>
      <w:tr>
        <w:trPr/>
        <w:tc>
          <w:tcPr>
            <w:tcW w:w="2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abs>
                <w:tab w:val="clear" w:pos="720"/>
                <w:tab w:val="left" w:pos="0" w:leader="none"/>
              </w:tabs>
              <w:jc w:val="center"/>
              <w:rPr>
                <w:highlight w:val="none"/>
                <w:shd w:fill="FFFFFF" w:val="clear"/>
              </w:rPr>
            </w:pPr>
            <w:r>
              <w:rPr>
                <w:b/>
                <w:shd w:fill="FFFFFF" w:val="clear"/>
              </w:rPr>
              <w:t>Вимоги</w:t>
            </w:r>
          </w:p>
        </w:tc>
        <w:tc>
          <w:tcPr>
            <w:tcW w:w="6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b/>
                <w:shd w:fill="FFFFFF" w:val="clear"/>
              </w:rPr>
              <w:t>Перелік документів, що підтверджують інформацію про відповідність вимогам</w:t>
            </w:r>
          </w:p>
        </w:tc>
      </w:tr>
      <w:tr>
        <w:trPr/>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0" w:leader="none"/>
              </w:tabs>
              <w:jc w:val="center"/>
              <w:rPr>
                <w:b/>
                <w:b/>
                <w:highlight w:val="none"/>
                <w:shd w:fill="FFFFFF" w:val="clear"/>
              </w:rPr>
            </w:pPr>
            <w:r>
              <w:rPr>
                <w:b/>
                <w:bCs/>
                <w:color w:val="000000"/>
                <w:shd w:fill="FFFFFF" w:val="clear"/>
              </w:rPr>
              <w:t>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none"/>
                <w:shd w:fill="FFFFFF" w:val="clear"/>
              </w:rPr>
            </w:pPr>
            <w:r>
              <w:rPr>
                <w:color w:val="000000"/>
                <w:shd w:fill="FFFFFF" w:val="clear"/>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rPr>
                <w:b/>
                <w:b/>
                <w:i/>
                <w:i/>
                <w:color w:val="000000"/>
                <w:highlight w:val="none"/>
                <w:shd w:fill="FFFFFF" w:val="clear"/>
              </w:rPr>
            </w:pPr>
            <w:r>
              <w:rPr>
                <w:b/>
                <w:i/>
                <w:color w:val="000000"/>
                <w:shd w:fill="FFFFFF" w:val="clear"/>
              </w:rPr>
              <w:t>Аналогічним вважається договір за предметом закупівлі</w:t>
            </w:r>
          </w:p>
          <w:p>
            <w:pPr>
              <w:pStyle w:val="Normal"/>
              <w:widowControl w:val="false"/>
              <w:jc w:val="both"/>
              <w:rPr>
                <w:color w:val="000000"/>
                <w:highlight w:val="none"/>
                <w:shd w:fill="FFFFFF" w:val="clear"/>
              </w:rPr>
            </w:pPr>
            <w:r>
              <w:rPr>
                <w:color w:val="000000"/>
                <w:shd w:fill="FFFFFF" w:val="clear"/>
              </w:rPr>
              <w:t>1.2.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jc w:val="both"/>
              <w:rPr>
                <w:color w:val="000000"/>
                <w:highlight w:val="none"/>
                <w:shd w:fill="FFFFFF" w:val="clear"/>
              </w:rPr>
            </w:pPr>
            <w:r>
              <w:rPr>
                <w:color w:val="000000"/>
                <w:shd w:fill="FFFFFF" w:val="clear"/>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pPr>
              <w:pStyle w:val="Normal"/>
              <w:widowControl w:val="false"/>
              <w:jc w:val="both"/>
              <w:rPr>
                <w:color w:val="000000"/>
                <w:highlight w:val="none"/>
                <w:shd w:fill="FFFFFF" w:val="clear"/>
              </w:rPr>
            </w:pPr>
            <w:r>
              <w:rPr>
                <w:color w:val="000000"/>
                <w:shd w:fill="FFFFFF" w:val="clear"/>
              </w:rPr>
              <w:t>- копії/ю документів/у на підтвердження виконання не менше ніж одного договору зазначеного в наданій Учасником довідці.</w:t>
            </w:r>
          </w:p>
          <w:p>
            <w:pPr>
              <w:pStyle w:val="Normal"/>
              <w:widowControl w:val="false"/>
              <w:jc w:val="both"/>
              <w:rPr>
                <w:highlight w:val="none"/>
                <w:shd w:fill="FFFFFF" w:val="clear"/>
              </w:rPr>
            </w:pPr>
            <w:r>
              <w:rPr>
                <w:color w:val="000000"/>
                <w:shd w:fill="FFFFFF" w:val="clear"/>
              </w:rPr>
              <w:t>-</w:t>
            </w:r>
            <w:r>
              <w:rPr>
                <w:shd w:fill="FFFFFF" w:val="clear"/>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Pr>
                <w:i/>
                <w:iCs/>
                <w:shd w:fill="FFFFFF" w:val="clear"/>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p>
          <w:p>
            <w:pPr>
              <w:pStyle w:val="Normal"/>
              <w:widowControl w:val="false"/>
              <w:shd w:val="clear" w:color="auto" w:fill="FFFFFF"/>
              <w:jc w:val="center"/>
              <w:rPr>
                <w:b/>
                <w:b/>
                <w:highlight w:val="none"/>
                <w:shd w:fill="FFFFFF" w:val="clear"/>
              </w:rPr>
            </w:pPr>
            <w:r>
              <w:rPr>
                <w:b/>
                <w:bCs/>
                <w:i/>
                <w:iCs/>
                <w:shd w:fill="FFFFFF" w:val="clear"/>
              </w:rPr>
              <w:t>Інформація та документи надаються про виконаний/і договір/и.</w:t>
            </w:r>
          </w:p>
        </w:tc>
      </w:tr>
    </w:tbl>
    <w:p>
      <w:pPr>
        <w:pStyle w:val="Normal"/>
        <w:shd w:val="clear" w:color="auto" w:fill="FFFFFF"/>
        <w:rPr>
          <w:highlight w:val="none"/>
          <w:shd w:fill="FFFFFF" w:val="clear"/>
        </w:rPr>
      </w:pPr>
      <w:r>
        <w:rPr>
          <w:shd w:fill="FFFFFF" w:val="clear"/>
        </w:rPr>
      </w:r>
    </w:p>
    <w:p>
      <w:pPr>
        <w:pStyle w:val="Normal"/>
        <w:shd w:val="clear" w:color="auto" w:fill="FFFFFF"/>
        <w:tabs>
          <w:tab w:val="clear" w:pos="720"/>
          <w:tab w:val="left" w:pos="284" w:leader="none"/>
        </w:tabs>
        <w:jc w:val="both"/>
        <w:rPr>
          <w:highlight w:val="none"/>
          <w:shd w:fill="FFFFFF" w:val="clear"/>
        </w:rPr>
      </w:pPr>
      <w:r>
        <w:rPr>
          <w:i/>
          <w:color w:val="000000"/>
          <w:sz w:val="22"/>
          <w:szCs w:val="22"/>
          <w:shd w:fill="FFFFFF" w:val="clear"/>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jc w:val="both"/>
        <w:rPr>
          <w:highlight w:val="none"/>
          <w:shd w:fill="FFFFFF" w:val="clear"/>
        </w:rPr>
      </w:pPr>
      <w:r>
        <w:rPr>
          <w:color w:val="000000"/>
          <w:shd w:fill="FFFFFF" w:val="clear"/>
        </w:rPr>
        <w:t>________________________________________________________________________________</w:t>
      </w:r>
    </w:p>
    <w:p>
      <w:pPr>
        <w:pStyle w:val="Normal"/>
        <w:shd w:val="clear" w:color="auto" w:fill="FFFFFF"/>
        <w:ind w:firstLine="709"/>
        <w:jc w:val="both"/>
        <w:rPr>
          <w:color w:val="000000"/>
          <w:highlight w:val="none"/>
          <w:shd w:fill="FFFFFF" w:val="clear"/>
        </w:rPr>
      </w:pPr>
      <w:r>
        <w:rPr>
          <w:color w:val="000000"/>
          <w:shd w:fill="FFFFFF" w:val="clear"/>
        </w:rPr>
      </w:r>
    </w:p>
    <w:p>
      <w:pPr>
        <w:pStyle w:val="Normal"/>
        <w:shd w:val="clear" w:color="auto" w:fill="FFFFFF"/>
        <w:jc w:val="center"/>
        <w:rPr>
          <w:highlight w:val="none"/>
          <w:shd w:fill="FFFFFF" w:val="clear"/>
        </w:rPr>
      </w:pPr>
      <w:r>
        <w:rPr>
          <w:i/>
          <w:color w:val="000000"/>
          <w:shd w:fill="FFFFFF" w:val="clear"/>
        </w:rPr>
        <w:t>Приклад довідки,</w:t>
      </w:r>
      <w:r>
        <w:rPr>
          <w:i/>
          <w:shd w:fill="FFFFFF" w:val="clear"/>
        </w:rPr>
        <w:t xml:space="preserve"> </w:t>
      </w:r>
      <w:r>
        <w:rPr>
          <w:i/>
          <w:color w:val="000000"/>
          <w:shd w:fill="FFFFFF" w:val="clear"/>
        </w:rPr>
        <w:t>що містить інформацію про наявність досвіду виконання аналогічного</w:t>
      </w:r>
    </w:p>
    <w:p>
      <w:pPr>
        <w:pStyle w:val="Normal"/>
        <w:shd w:val="clear" w:color="auto" w:fill="FFFFFF"/>
        <w:jc w:val="center"/>
        <w:rPr>
          <w:highlight w:val="none"/>
          <w:shd w:fill="FFFFFF" w:val="clear"/>
        </w:rPr>
      </w:pPr>
      <w:r>
        <w:rPr>
          <w:i/>
          <w:color w:val="000000"/>
          <w:shd w:fill="FFFFFF" w:val="clear"/>
        </w:rPr>
        <w:t>за предметом закупівлі договору:</w:t>
      </w:r>
    </w:p>
    <w:p>
      <w:pPr>
        <w:pStyle w:val="Normal"/>
        <w:shd w:val="clear" w:color="auto" w:fill="FFFFFF"/>
        <w:jc w:val="right"/>
        <w:rPr>
          <w:b/>
          <w:b/>
          <w:color w:val="000000"/>
          <w:highlight w:val="none"/>
          <w:shd w:fill="FFFFFF" w:val="clear"/>
        </w:rPr>
      </w:pPr>
      <w:r>
        <w:rPr>
          <w:b/>
          <w:color w:val="000000"/>
          <w:shd w:fill="FFFFFF" w:val="clear"/>
        </w:rPr>
      </w:r>
    </w:p>
    <w:p>
      <w:pPr>
        <w:pStyle w:val="Normal"/>
        <w:shd w:val="clear" w:color="auto" w:fill="FFFFFF"/>
        <w:jc w:val="right"/>
        <w:rPr>
          <w:highlight w:val="none"/>
          <w:shd w:fill="FFFFFF" w:val="clear"/>
        </w:rPr>
      </w:pPr>
      <w:r>
        <w:rPr>
          <w:b/>
          <w:color w:val="000000"/>
          <w:shd w:fill="FFFFFF" w:val="clear"/>
        </w:rPr>
        <w:t>Уповноваженій особі</w:t>
      </w:r>
    </w:p>
    <w:p>
      <w:pPr>
        <w:pStyle w:val="Normal"/>
        <w:shd w:val="clear" w:color="auto" w:fill="FFFFFF"/>
        <w:jc w:val="right"/>
        <w:rPr>
          <w:b/>
          <w:b/>
          <w:color w:val="000000"/>
          <w:highlight w:val="none"/>
          <w:shd w:fill="FFFFFF" w:val="clear"/>
        </w:rPr>
      </w:pPr>
      <w:r>
        <w:rPr>
          <w:b/>
          <w:color w:val="000000"/>
          <w:shd w:fill="FFFFFF" w:val="clear"/>
        </w:rPr>
      </w:r>
    </w:p>
    <w:p>
      <w:pPr>
        <w:pStyle w:val="Normal"/>
        <w:shd w:val="clear" w:color="auto" w:fill="FFFFFF"/>
        <w:jc w:val="center"/>
        <w:rPr>
          <w:highlight w:val="none"/>
          <w:shd w:fill="FFFFFF" w:val="clear"/>
        </w:rPr>
      </w:pPr>
      <w:r>
        <w:rPr>
          <w:b/>
          <w:color w:val="000000"/>
          <w:shd w:fill="FFFFFF" w:val="clear"/>
        </w:rPr>
        <w:t>ДОВІДКА</w:t>
      </w:r>
    </w:p>
    <w:p>
      <w:pPr>
        <w:pStyle w:val="Normal"/>
        <w:shd w:val="clear" w:color="auto" w:fill="FFFFFF"/>
        <w:ind w:firstLine="709"/>
        <w:jc w:val="both"/>
        <w:rPr>
          <w:color w:val="000000"/>
          <w:highlight w:val="none"/>
          <w:shd w:fill="FFFFFF" w:val="clear"/>
        </w:rPr>
      </w:pPr>
      <w:r>
        <w:rPr>
          <w:color w:val="000000"/>
          <w:shd w:fill="FFFFFF" w:val="clear"/>
        </w:rPr>
      </w:r>
    </w:p>
    <w:p>
      <w:pPr>
        <w:pStyle w:val="Normal"/>
        <w:shd w:val="clear" w:color="auto" w:fill="FFFFFF"/>
        <w:jc w:val="both"/>
        <w:rPr>
          <w:highlight w:val="none"/>
          <w:shd w:fill="FFFFFF" w:val="clear"/>
        </w:rPr>
      </w:pPr>
      <w:r>
        <w:rPr>
          <w:color w:val="000000"/>
          <w:u w:val="single"/>
          <w:shd w:fill="FFFFFF" w:val="clear"/>
        </w:rPr>
        <w:t xml:space="preserve"> </w:t>
      </w:r>
      <w:r>
        <w:rPr>
          <w:color w:val="000000"/>
          <w:u w:val="single"/>
          <w:shd w:fill="FFFFFF" w:val="clear"/>
        </w:rPr>
        <w:t xml:space="preserve">____ (Назва учасника) </w:t>
      </w:r>
      <w:r>
        <w:rPr>
          <w:color w:val="000000"/>
          <w:shd w:fill="FFFFFF" w:val="clear"/>
        </w:rPr>
        <w:t>, як учасник закупівлі підтверджуємо відповідність вимогам тобто про наявність досвіду виконання аналогічного за предметом закупівлі договору:</w:t>
      </w:r>
    </w:p>
    <w:p>
      <w:pPr>
        <w:pStyle w:val="Normal"/>
        <w:shd w:val="clear" w:color="auto" w:fill="FFFFFF"/>
        <w:ind w:firstLine="709"/>
        <w:jc w:val="both"/>
        <w:rPr>
          <w:color w:val="000000"/>
          <w:highlight w:val="none"/>
          <w:shd w:fill="FFFFFF" w:val="clear"/>
        </w:rPr>
      </w:pPr>
      <w:r>
        <w:rPr>
          <w:color w:val="000000"/>
          <w:shd w:fill="FFFFFF" w:val="clear"/>
        </w:rPr>
      </w:r>
    </w:p>
    <w:tbl>
      <w:tblPr>
        <w:tblW w:w="10023" w:type="dxa"/>
        <w:jc w:val="left"/>
        <w:tblInd w:w="0" w:type="dxa"/>
        <w:tblLayout w:type="fixed"/>
        <w:tblCellMar>
          <w:top w:w="0" w:type="dxa"/>
          <w:left w:w="108" w:type="dxa"/>
          <w:bottom w:w="0" w:type="dxa"/>
          <w:right w:w="108" w:type="dxa"/>
        </w:tblCellMar>
        <w:tblLook w:val="0000"/>
      </w:tblPr>
      <w:tblGrid>
        <w:gridCol w:w="1942"/>
        <w:gridCol w:w="2288"/>
        <w:gridCol w:w="2280"/>
        <w:gridCol w:w="1589"/>
        <w:gridCol w:w="1924"/>
      </w:tblGrid>
      <w:tr>
        <w:trPr/>
        <w:tc>
          <w:tcPr>
            <w:tcW w:w="19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Найменування контрагента</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Предмет договору</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Стан виконання договору</w:t>
            </w:r>
          </w:p>
          <w:p>
            <w:pPr>
              <w:pStyle w:val="Normal"/>
              <w:widowControl w:val="false"/>
              <w:shd w:val="clear" w:color="auto" w:fill="FFFFFF"/>
              <w:jc w:val="center"/>
              <w:rPr>
                <w:highlight w:val="none"/>
                <w:shd w:fill="FFFFFF" w:val="clear"/>
              </w:rPr>
            </w:pPr>
            <w:r>
              <w:rPr>
                <w:shd w:fill="FFFFFF" w:val="clear"/>
              </w:rPr>
              <w:t>(виконано/частково виконано)</w:t>
            </w:r>
          </w:p>
        </w:tc>
        <w:tc>
          <w:tcPr>
            <w:tcW w:w="35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Контактні дані осіб замовника (контрагента)</w:t>
            </w:r>
          </w:p>
        </w:tc>
      </w:tr>
      <w:tr>
        <w:trPr/>
        <w:tc>
          <w:tcPr>
            <w:tcW w:w="19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highlight w:val="none"/>
                <w:shd w:fill="FFFFFF" w:val="clear"/>
              </w:rPr>
            </w:pPr>
            <w:r>
              <w:rPr>
                <w:shd w:fill="FFFFFF" w:val="clear"/>
              </w:rPr>
            </w:r>
          </w:p>
        </w:tc>
        <w:tc>
          <w:tcPr>
            <w:tcW w:w="22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highlight w:val="none"/>
                <w:shd w:fill="FFFFFF" w:val="clear"/>
              </w:rPr>
            </w:pPr>
            <w:r>
              <w:rPr>
                <w:shd w:fill="FFFFFF" w:val="clear"/>
              </w:rPr>
            </w:r>
          </w:p>
        </w:tc>
        <w:tc>
          <w:tcPr>
            <w:tcW w:w="22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highlight w:val="none"/>
                <w:shd w:fill="FFFFFF" w:val="clear"/>
              </w:rPr>
            </w:pPr>
            <w:r>
              <w:rPr>
                <w:shd w:fill="FFFFFF" w:val="clear"/>
              </w:rPr>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Прізвище та ім’я</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none"/>
                <w:shd w:fill="FFFFFF" w:val="clear"/>
              </w:rPr>
            </w:pPr>
            <w:r>
              <w:rPr>
                <w:shd w:fill="FFFFFF" w:val="clear"/>
              </w:rPr>
              <w:t>Контактний телефон</w:t>
            </w:r>
          </w:p>
        </w:tc>
      </w:tr>
      <w:tr>
        <w:trPr>
          <w:trHeight w:val="325" w:hRule="atLeast"/>
        </w:trPr>
        <w:tc>
          <w:tcPr>
            <w:tcW w:w="194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highlight w:val="none"/>
                <w:shd w:fill="FFFFFF" w:val="clear"/>
              </w:rPr>
            </w:pPr>
            <w:r>
              <w:rPr>
                <w:shd w:fill="FFFFFF" w:val="clear"/>
              </w:rPr>
            </w:r>
          </w:p>
          <w:p>
            <w:pPr>
              <w:pStyle w:val="Normal"/>
              <w:widowControl w:val="false"/>
              <w:shd w:val="clear" w:color="auto" w:fill="FFFFFF"/>
              <w:jc w:val="both"/>
              <w:rPr>
                <w:highlight w:val="none"/>
                <w:shd w:fill="FFFFFF" w:val="clear"/>
              </w:rPr>
            </w:pPr>
            <w:r>
              <w:rPr>
                <w:shd w:fill="FFFFFF" w:val="clear"/>
              </w:rPr>
            </w:r>
          </w:p>
          <w:p>
            <w:pPr>
              <w:pStyle w:val="Normal"/>
              <w:widowControl w:val="false"/>
              <w:shd w:val="clear" w:color="auto" w:fill="FFFFFF"/>
              <w:jc w:val="both"/>
              <w:rPr>
                <w:highlight w:val="none"/>
                <w:shd w:fill="FFFFFF" w:val="clear"/>
              </w:rPr>
            </w:pPr>
            <w:r>
              <w:rPr>
                <w:shd w:fill="FFFFFF" w:val="clear"/>
              </w:rPr>
            </w:r>
          </w:p>
          <w:p>
            <w:pPr>
              <w:pStyle w:val="Normal"/>
              <w:widowControl w:val="false"/>
              <w:shd w:val="clear" w:color="auto" w:fill="FFFFFF"/>
              <w:jc w:val="both"/>
              <w:rPr>
                <w:highlight w:val="none"/>
                <w:shd w:fill="FFFFFF" w:val="clear"/>
              </w:rPr>
            </w:pPr>
            <w:r>
              <w:rPr>
                <w:shd w:fill="FFFFFF" w:val="clear"/>
              </w:rPr>
            </w:r>
          </w:p>
        </w:tc>
        <w:tc>
          <w:tcPr>
            <w:tcW w:w="228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highlight w:val="none"/>
                <w:shd w:fill="FFFFFF" w:val="clear"/>
              </w:rPr>
            </w:pPr>
            <w:r>
              <w:rPr>
                <w:shd w:fill="FFFFFF" w:val="clear"/>
              </w:rPr>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highlight w:val="none"/>
                <w:shd w:fill="FFFFFF" w:val="clear"/>
              </w:rPr>
            </w:pPr>
            <w:r>
              <w:rPr>
                <w:shd w:fill="FFFFFF" w:val="clear"/>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highlight w:val="none"/>
                <w:shd w:fill="FFFFFF" w:val="clear"/>
              </w:rPr>
            </w:pPr>
            <w:r>
              <w:rPr>
                <w:shd w:fill="FFFFFF" w:val="clear"/>
              </w:rPr>
            </w:r>
          </w:p>
        </w:tc>
        <w:tc>
          <w:tcPr>
            <w:tcW w:w="192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highlight w:val="none"/>
                <w:shd w:fill="FFFFFF" w:val="clear"/>
              </w:rPr>
            </w:pPr>
            <w:r>
              <w:rPr>
                <w:shd w:fill="FFFFFF" w:val="clear"/>
              </w:rPr>
            </w:r>
          </w:p>
        </w:tc>
      </w:tr>
    </w:tbl>
    <w:p>
      <w:pPr>
        <w:pStyle w:val="Normal"/>
        <w:shd w:val="clear" w:color="auto" w:fill="FFFFFF"/>
        <w:rPr>
          <w:highlight w:val="none"/>
          <w:shd w:fill="FFFFFF" w:val="clear"/>
        </w:rPr>
      </w:pPr>
      <w:r>
        <w:rPr>
          <w:shd w:fill="FFFFFF" w:val="clear"/>
        </w:rPr>
      </w:r>
    </w:p>
    <w:tbl>
      <w:tblPr>
        <w:tblW w:w="10024" w:type="dxa"/>
        <w:jc w:val="left"/>
        <w:tblInd w:w="0" w:type="dxa"/>
        <w:tblLayout w:type="fixed"/>
        <w:tblCellMar>
          <w:top w:w="0" w:type="dxa"/>
          <w:left w:w="108" w:type="dxa"/>
          <w:bottom w:w="0" w:type="dxa"/>
          <w:right w:w="108" w:type="dxa"/>
        </w:tblCellMar>
        <w:tblLook w:val="0000"/>
      </w:tblPr>
      <w:tblGrid>
        <w:gridCol w:w="3342"/>
        <w:gridCol w:w="3341"/>
        <w:gridCol w:w="3341"/>
      </w:tblGrid>
      <w:tr>
        <w:trPr/>
        <w:tc>
          <w:tcPr>
            <w:tcW w:w="3342" w:type="dxa"/>
            <w:tcBorders/>
          </w:tcPr>
          <w:p>
            <w:pPr>
              <w:pStyle w:val="Normal"/>
              <w:widowControl w:val="false"/>
              <w:shd w:val="clear" w:color="auto" w:fill="FFFFFF"/>
              <w:jc w:val="center"/>
              <w:rPr>
                <w:sz w:val="20"/>
                <w:szCs w:val="20"/>
                <w:highlight w:val="none"/>
                <w:shd w:fill="FFFFFF" w:val="clear"/>
              </w:rPr>
            </w:pPr>
            <w:r>
              <w:rPr>
                <w:sz w:val="20"/>
                <w:szCs w:val="20"/>
                <w:shd w:fill="FFFFFF" w:val="clear"/>
              </w:rPr>
              <w:t>________________________</w:t>
            </w:r>
          </w:p>
        </w:tc>
        <w:tc>
          <w:tcPr>
            <w:tcW w:w="3341" w:type="dxa"/>
            <w:tcBorders/>
          </w:tcPr>
          <w:p>
            <w:pPr>
              <w:pStyle w:val="Normal"/>
              <w:widowControl w:val="false"/>
              <w:shd w:val="clear" w:color="auto" w:fill="FFFFFF"/>
              <w:jc w:val="center"/>
              <w:rPr>
                <w:sz w:val="20"/>
                <w:szCs w:val="20"/>
                <w:highlight w:val="none"/>
                <w:shd w:fill="FFFFFF" w:val="clear"/>
              </w:rPr>
            </w:pPr>
            <w:r>
              <w:rPr>
                <w:sz w:val="20"/>
                <w:szCs w:val="20"/>
                <w:shd w:fill="FFFFFF" w:val="clear"/>
              </w:rPr>
              <w:t>________________________</w:t>
            </w:r>
          </w:p>
        </w:tc>
        <w:tc>
          <w:tcPr>
            <w:tcW w:w="3341" w:type="dxa"/>
            <w:tcBorders/>
          </w:tcPr>
          <w:p>
            <w:pPr>
              <w:pStyle w:val="Normal"/>
              <w:widowControl w:val="false"/>
              <w:shd w:val="clear" w:color="auto" w:fill="FFFFFF"/>
              <w:jc w:val="center"/>
              <w:rPr>
                <w:sz w:val="20"/>
                <w:szCs w:val="20"/>
                <w:highlight w:val="none"/>
                <w:shd w:fill="FFFFFF" w:val="clear"/>
              </w:rPr>
            </w:pPr>
            <w:r>
              <w:rPr>
                <w:sz w:val="20"/>
                <w:szCs w:val="20"/>
                <w:shd w:fill="FFFFFF" w:val="clear"/>
              </w:rPr>
              <w:t>________________________</w:t>
            </w:r>
          </w:p>
        </w:tc>
      </w:tr>
      <w:tr>
        <w:trPr/>
        <w:tc>
          <w:tcPr>
            <w:tcW w:w="3342" w:type="dxa"/>
            <w:tcBorders/>
          </w:tcPr>
          <w:p>
            <w:pPr>
              <w:pStyle w:val="Normal"/>
              <w:widowControl w:val="false"/>
              <w:shd w:val="clear" w:color="auto" w:fill="FFFFFF"/>
              <w:jc w:val="center"/>
              <w:rPr>
                <w:sz w:val="20"/>
                <w:szCs w:val="20"/>
                <w:highlight w:val="none"/>
                <w:shd w:fill="FFFFFF" w:val="clear"/>
              </w:rPr>
            </w:pPr>
            <w:r>
              <w:rPr>
                <w:i/>
                <w:sz w:val="20"/>
                <w:szCs w:val="20"/>
                <w:shd w:fill="FFFFFF" w:val="clear"/>
              </w:rPr>
              <w:t>посада уповноваженої особи Учасника</w:t>
            </w:r>
          </w:p>
        </w:tc>
        <w:tc>
          <w:tcPr>
            <w:tcW w:w="3341" w:type="dxa"/>
            <w:tcBorders/>
          </w:tcPr>
          <w:p>
            <w:pPr>
              <w:pStyle w:val="Normal"/>
              <w:widowControl w:val="false"/>
              <w:shd w:val="clear" w:color="auto" w:fill="FFFFFF"/>
              <w:jc w:val="center"/>
              <w:rPr>
                <w:sz w:val="20"/>
                <w:szCs w:val="20"/>
                <w:highlight w:val="none"/>
                <w:shd w:fill="FFFFFF" w:val="clear"/>
              </w:rPr>
            </w:pPr>
            <w:r>
              <w:rPr>
                <w:i/>
                <w:sz w:val="20"/>
                <w:szCs w:val="20"/>
                <w:shd w:fill="FFFFFF" w:val="clear"/>
              </w:rPr>
              <w:t>підпис та печатка</w:t>
            </w:r>
          </w:p>
        </w:tc>
        <w:tc>
          <w:tcPr>
            <w:tcW w:w="3341" w:type="dxa"/>
            <w:tcBorders/>
          </w:tcPr>
          <w:p>
            <w:pPr>
              <w:pStyle w:val="Normal"/>
              <w:widowControl w:val="false"/>
              <w:shd w:val="clear" w:color="auto" w:fill="FFFFFF"/>
              <w:jc w:val="center"/>
              <w:rPr>
                <w:i/>
                <w:i/>
                <w:sz w:val="20"/>
                <w:szCs w:val="20"/>
                <w:highlight w:val="none"/>
                <w:shd w:fill="FFFFFF" w:val="clear"/>
              </w:rPr>
            </w:pPr>
            <w:r>
              <w:rPr>
                <w:i/>
                <w:sz w:val="20"/>
                <w:szCs w:val="20"/>
                <w:shd w:fill="FFFFFF" w:val="clear"/>
              </w:rPr>
              <w:t>прізвище, ініціали</w:t>
            </w:r>
          </w:p>
          <w:p>
            <w:pPr>
              <w:pStyle w:val="Normal"/>
              <w:widowControl w:val="false"/>
              <w:shd w:val="clear" w:color="auto" w:fill="FFFFFF"/>
              <w:rPr>
                <w:sz w:val="20"/>
                <w:szCs w:val="20"/>
                <w:highlight w:val="none"/>
                <w:shd w:fill="FFFFFF" w:val="clear"/>
              </w:rPr>
            </w:pPr>
            <w:r>
              <w:rPr>
                <w:sz w:val="20"/>
                <w:szCs w:val="20"/>
                <w:shd w:fill="FFFFFF" w:val="clear"/>
              </w:rPr>
            </w:r>
          </w:p>
        </w:tc>
      </w:tr>
    </w:tbl>
    <w:p>
      <w:pPr>
        <w:pStyle w:val="Normal"/>
        <w:shd w:val="clear" w:color="auto" w:fill="FFFFFF"/>
        <w:jc w:val="right"/>
        <w:rPr>
          <w:highlight w:val="none"/>
          <w:shd w:fill="FFFFFF" w:val="clear"/>
        </w:rPr>
      </w:pPr>
      <w:r>
        <w:rPr>
          <w:shd w:fill="FFFFFF" w:val="clear"/>
        </w:rPr>
      </w:r>
    </w:p>
    <w:p>
      <w:pPr>
        <w:pStyle w:val="Normal"/>
        <w:shd w:val="clear" w:color="auto" w:fill="FFFFFF"/>
        <w:jc w:val="right"/>
        <w:rPr>
          <w:highlight w:val="none"/>
          <w:shd w:fill="FFFFFF" w:val="clear"/>
        </w:rPr>
      </w:pPr>
      <w:r>
        <w:rPr>
          <w:shd w:fill="FFFFFF" w:val="clear"/>
        </w:rPr>
      </w:r>
    </w:p>
    <w:p>
      <w:pPr>
        <w:pStyle w:val="Normal"/>
        <w:shd w:val="clear" w:color="auto" w:fill="FFFFFF"/>
        <w:jc w:val="right"/>
        <w:rPr>
          <w:highlight w:val="none"/>
          <w:shd w:fill="FFFFFF" w:val="clear"/>
        </w:rPr>
      </w:pPr>
      <w:r>
        <w:rPr>
          <w:shd w:fill="FFFFFF" w:val="clear"/>
        </w:rPr>
      </w:r>
    </w:p>
    <w:p>
      <w:pPr>
        <w:pStyle w:val="Normal"/>
        <w:shd w:val="clear" w:color="auto" w:fill="FFFFFF"/>
        <w:spacing w:before="240" w:after="0"/>
        <w:jc w:val="center"/>
        <w:rPr>
          <w:highlight w:val="none"/>
          <w:shd w:fill="FFFFFF" w:val="clear"/>
        </w:rPr>
      </w:pPr>
      <w:r>
        <w:rPr>
          <w:b/>
          <w:bCs/>
          <w:color w:val="000000"/>
          <w:shd w:fill="FFFFFF" w:val="clear"/>
        </w:rPr>
        <w:t>Інша інформація встановлена відповідно до законодавства (для УЧАСНИКІВ - юридичних осіб, фізичних осіб та фізичних осіб-підприємців).</w:t>
      </w:r>
    </w:p>
    <w:tbl>
      <w:tblPr>
        <w:tblW w:w="10358" w:type="dxa"/>
        <w:jc w:val="left"/>
        <w:tblInd w:w="0" w:type="dxa"/>
        <w:tblLayout w:type="fixed"/>
        <w:tblCellMar>
          <w:top w:w="100" w:type="dxa"/>
          <w:left w:w="100" w:type="dxa"/>
          <w:bottom w:w="100" w:type="dxa"/>
          <w:right w:w="100" w:type="dxa"/>
        </w:tblCellMar>
        <w:tblLook w:val="00a0"/>
      </w:tblPr>
      <w:tblGrid>
        <w:gridCol w:w="419"/>
        <w:gridCol w:w="9938"/>
      </w:tblGrid>
      <w:tr>
        <w:trPr>
          <w:trHeight w:val="124" w:hRule="atLeast"/>
        </w:trPr>
        <w:tc>
          <w:tcPr>
            <w:tcW w:w="10357"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b/>
                <w:b/>
                <w:bCs/>
                <w:color w:val="000000"/>
                <w:highlight w:val="none"/>
                <w:shd w:fill="FFFFFF" w:val="clear"/>
              </w:rPr>
            </w:pPr>
            <w:r>
              <w:rPr>
                <w:b/>
                <w:bCs/>
                <w:color w:val="000000"/>
                <w:shd w:fill="FFFFFF" w:val="clear"/>
              </w:rPr>
              <w:t>Інші документи від Учасника:</w:t>
            </w:r>
          </w:p>
        </w:tc>
      </w:tr>
      <w:tr>
        <w:trPr>
          <w:trHeight w:val="3306"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highlight w:val="none"/>
                <w:shd w:fill="FFFFFF" w:val="clear"/>
              </w:rPr>
            </w:pPr>
            <w:r>
              <w:rPr>
                <w:b/>
                <w:bCs/>
                <w:color w:val="000000"/>
                <w:shd w:fill="FFFFFF" w:val="clear"/>
              </w:rPr>
              <w:t>1</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20" w:hanging="20"/>
              <w:jc w:val="both"/>
              <w:rPr>
                <w:color w:val="000000"/>
                <w:highlight w:val="none"/>
                <w:shd w:fill="FFFFFF" w:val="clear"/>
              </w:rPr>
            </w:pPr>
            <w:r>
              <w:rPr>
                <w:color w:val="000000"/>
                <w:shd w:fill="FFFFFF" w:val="clear"/>
              </w:rPr>
              <w:t>Для фізичних осіб,  фізичних осіб- підприємців:</w:t>
            </w:r>
          </w:p>
          <w:p>
            <w:pPr>
              <w:pStyle w:val="Normal"/>
              <w:widowControl w:val="false"/>
              <w:ind w:left="140" w:right="120" w:hanging="20"/>
              <w:jc w:val="both"/>
              <w:rPr>
                <w:color w:val="000000"/>
                <w:highlight w:val="none"/>
                <w:shd w:fill="FFFFFF" w:val="clear"/>
              </w:rPr>
            </w:pPr>
            <w:r>
              <w:rPr>
                <w:color w:val="000000"/>
                <w:shd w:fill="FFFFFF" w:val="clear"/>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pPr>
              <w:pStyle w:val="Normal"/>
              <w:widowControl w:val="false"/>
              <w:ind w:left="140" w:right="120" w:hanging="20"/>
              <w:jc w:val="both"/>
              <w:rPr>
                <w:color w:val="000000"/>
                <w:highlight w:val="none"/>
                <w:shd w:fill="FFFFFF" w:val="clear"/>
              </w:rPr>
            </w:pPr>
            <w:r>
              <w:rPr>
                <w:color w:val="000000"/>
                <w:shd w:fill="FFFFFF" w:val="clear"/>
              </w:rPr>
              <w:t>та</w:t>
            </w:r>
          </w:p>
          <w:p>
            <w:pPr>
              <w:pStyle w:val="Normal"/>
              <w:widowControl w:val="false"/>
              <w:ind w:left="140" w:right="120" w:hanging="20"/>
              <w:jc w:val="both"/>
              <w:rPr>
                <w:color w:val="000000"/>
                <w:highlight w:val="none"/>
                <w:shd w:fill="FFFFFF" w:val="clear"/>
              </w:rPr>
            </w:pPr>
            <w:r>
              <w:rPr>
                <w:color w:val="000000"/>
                <w:shd w:fill="FFFFFF" w:val="clear"/>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Normal"/>
              <w:widowControl w:val="false"/>
              <w:ind w:left="140" w:right="120" w:hanging="20"/>
              <w:jc w:val="both"/>
              <w:rPr>
                <w:color w:val="000000"/>
                <w:highlight w:val="none"/>
                <w:shd w:fill="FFFFFF" w:val="clear"/>
              </w:rPr>
            </w:pPr>
            <w:r>
              <w:rPr>
                <w:color w:val="000000"/>
                <w:shd w:fill="FFFFFF" w:val="clear"/>
              </w:rPr>
              <w:t>- Довідка учасника, яка містить відомості про учасника,  заповнена за формою наведеною у  Додатку 3 до документації</w:t>
            </w:r>
          </w:p>
          <w:p>
            <w:pPr>
              <w:pStyle w:val="Normal"/>
              <w:widowControl w:val="false"/>
              <w:ind w:left="140" w:right="120" w:hanging="20"/>
              <w:jc w:val="both"/>
              <w:rPr>
                <w:color w:val="000000"/>
                <w:highlight w:val="none"/>
                <w:shd w:fill="FFFFFF" w:val="clear"/>
              </w:rPr>
            </w:pPr>
            <w:r>
              <w:rPr>
                <w:color w:val="000000"/>
                <w:shd w:fill="FFFFFF" w:val="clear"/>
              </w:rPr>
              <w:t xml:space="preserve">- Виписка або витяг з Єдиного державного реєстру юридичних осіб, фізичних осіб-підприємців та громадських формувань згідно законодавства </w:t>
            </w:r>
            <w:r>
              <w:rPr>
                <w:color w:val="000000"/>
                <w:shd w:fill="FFFFFF" w:val="clear"/>
                <w:lang w:val="ru-RU"/>
              </w:rPr>
              <w:t>.</w:t>
            </w:r>
          </w:p>
          <w:p>
            <w:pPr>
              <w:pStyle w:val="Normal"/>
              <w:widowControl w:val="false"/>
              <w:ind w:right="120" w:hanging="0"/>
              <w:jc w:val="both"/>
              <w:rPr>
                <w:color w:val="000000"/>
                <w:highlight w:val="none"/>
                <w:shd w:fill="FFFFFF" w:val="clear"/>
              </w:rPr>
            </w:pPr>
            <w:r>
              <w:rPr>
                <w:color w:val="000000"/>
                <w:shd w:fill="FFFFFF" w:val="clear"/>
              </w:rPr>
              <w:t>-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tc>
      </w:tr>
      <w:tr>
        <w:trPr>
          <w:trHeight w:val="1727"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highlight w:val="none"/>
                <w:shd w:fill="FFFFFF" w:val="clear"/>
              </w:rPr>
            </w:pPr>
            <w:r>
              <w:rPr>
                <w:b/>
                <w:bCs/>
                <w:color w:val="000000"/>
                <w:shd w:fill="FFFFFF" w:val="clear"/>
              </w:rPr>
              <w:t>2</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40" w:right="120" w:hanging="20"/>
              <w:jc w:val="both"/>
              <w:rPr>
                <w:color w:val="000000"/>
                <w:highlight w:val="none"/>
                <w:shd w:fill="FFFFFF" w:val="clear"/>
              </w:rPr>
            </w:pPr>
            <w:r>
              <w:rPr>
                <w:color w:val="000000"/>
                <w:shd w:fill="FFFFFF" w:val="clear"/>
              </w:rPr>
              <w:t>Для юридичних осіб</w:t>
            </w:r>
          </w:p>
          <w:p>
            <w:pPr>
              <w:pStyle w:val="Normal"/>
              <w:widowControl w:val="false"/>
              <w:ind w:left="140" w:right="120" w:hanging="20"/>
              <w:jc w:val="both"/>
              <w:rPr>
                <w:color w:val="000000"/>
                <w:highlight w:val="none"/>
                <w:shd w:fill="FFFFFF" w:val="clear"/>
              </w:rPr>
            </w:pPr>
            <w:r>
              <w:rPr>
                <w:color w:val="000000"/>
                <w:shd w:fill="FFFFFF" w:val="clear"/>
              </w:rPr>
              <w:t>1. Копія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пропозиції та договору.</w:t>
            </w:r>
          </w:p>
          <w:p>
            <w:pPr>
              <w:pStyle w:val="Normal"/>
              <w:widowControl w:val="false"/>
              <w:ind w:left="140" w:right="120" w:hanging="20"/>
              <w:jc w:val="both"/>
              <w:rPr>
                <w:color w:val="000000"/>
                <w:highlight w:val="none"/>
                <w:shd w:fill="FFFFFF" w:val="clear"/>
              </w:rPr>
            </w:pPr>
            <w:r>
              <w:rPr>
                <w:color w:val="000000"/>
                <w:shd w:fill="FFFFFF" w:val="clear"/>
              </w:rPr>
              <w:t>2. Довідка учасника, яка містить відомості про учасника,  заповнена за формою наведеною у  Додатку 3 до документації</w:t>
            </w:r>
          </w:p>
          <w:p>
            <w:pPr>
              <w:pStyle w:val="Normal"/>
              <w:widowControl w:val="false"/>
              <w:ind w:left="140" w:right="120" w:hanging="20"/>
              <w:jc w:val="both"/>
              <w:rPr>
                <w:color w:val="000000"/>
                <w:highlight w:val="none"/>
                <w:shd w:fill="FFFFFF" w:val="clear"/>
              </w:rPr>
            </w:pPr>
            <w:r>
              <w:rPr>
                <w:color w:val="000000"/>
                <w:shd w:fill="FFFFFF" w:val="clear"/>
              </w:rPr>
              <w:t>Виписка або витяг з Єдиного державного реєстру юридичних осіб, фізичних осіб-підприємців та громадських формувань згідно законодавства</w:t>
            </w:r>
          </w:p>
          <w:p>
            <w:pPr>
              <w:pStyle w:val="Normal"/>
              <w:widowControl w:val="false"/>
              <w:ind w:left="140" w:right="120" w:hanging="20"/>
              <w:jc w:val="both"/>
              <w:rPr>
                <w:color w:val="000000"/>
                <w:highlight w:val="none"/>
                <w:shd w:fill="FFFFFF" w:val="clear"/>
              </w:rPr>
            </w:pPr>
            <w:r>
              <w:rPr>
                <w:color w:val="000000"/>
                <w:shd w:fill="FFFFFF" w:val="clear"/>
              </w:rPr>
              <w:t>2.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p>
            <w:pPr>
              <w:pStyle w:val="Normal"/>
              <w:widowControl w:val="false"/>
              <w:ind w:left="140" w:right="120" w:hanging="20"/>
              <w:jc w:val="both"/>
              <w:rPr>
                <w:color w:val="000000"/>
                <w:highlight w:val="none"/>
                <w:shd w:fill="FFFFFF" w:val="clear"/>
              </w:rPr>
            </w:pPr>
            <w:r>
              <w:rPr>
                <w:color w:val="000000"/>
                <w:shd w:fill="FFFFFF" w:val="clear"/>
              </w:rPr>
              <w:t>3. Копія Статуту або іншого установчого документу (для юридичної особи), а також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trPr>
          <w:trHeight w:val="807"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bCs/>
                <w:color w:val="000000"/>
                <w:highlight w:val="none"/>
                <w:shd w:fill="FFFFFF" w:val="clear"/>
              </w:rPr>
            </w:pPr>
            <w:r>
              <w:rPr>
                <w:b/>
                <w:bCs/>
                <w:color w:val="000000"/>
                <w:shd w:fill="FFFFFF" w:val="clear"/>
              </w:rPr>
              <w:t>3</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highlight w:val="none"/>
                <w:shd w:fill="FFFFFF" w:val="clear"/>
              </w:rPr>
            </w:pPr>
            <w:r>
              <w:rPr>
                <w:color w:val="000000"/>
                <w:shd w:fill="FFFFFF" w:val="clear"/>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highlight w:val="none"/>
                <w:shd w:fill="FFFFFF" w:val="clear"/>
              </w:rPr>
            </w:pPr>
            <w:r>
              <w:rPr>
                <w:b/>
                <w:bCs/>
                <w:color w:val="000000"/>
                <w:shd w:fill="FFFFFF" w:val="clear"/>
              </w:rPr>
              <w:t>4</w:t>
            </w:r>
          </w:p>
        </w:tc>
        <w:tc>
          <w:tcPr>
            <w:tcW w:w="9938" w:type="dxa"/>
            <w:tcBorders>
              <w:top w:val="single" w:sz="8" w:space="0" w:color="000000"/>
              <w:left w:val="single" w:sz="8" w:space="0" w:color="000000"/>
              <w:bottom w:val="single" w:sz="8" w:space="0" w:color="000000"/>
              <w:right w:val="single" w:sz="8" w:space="0" w:color="000000"/>
            </w:tcBorders>
          </w:tcPr>
          <w:p>
            <w:pPr>
              <w:pStyle w:val="Normal"/>
              <w:widowControl w:val="false"/>
              <w:ind w:left="120" w:right="120" w:hanging="20"/>
              <w:jc w:val="both"/>
              <w:rPr/>
            </w:pPr>
            <w:r>
              <w:rPr>
                <w:rStyle w:val="Strong"/>
                <w:bCs/>
                <w:shd w:fill="FFFFFF" w:val="clear"/>
              </w:rPr>
              <w:t xml:space="preserve">Достовірна інформація у вигляді довідки довільної форми в якій зазначити дані </w:t>
            </w:r>
            <w:r>
              <w:rPr>
                <w:color w:val="000000"/>
                <w:shd w:fill="FFFFFF" w:val="clear"/>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rPr>
          <w:trHeight w:val="1802" w:hRule="atLeast"/>
        </w:trPr>
        <w:tc>
          <w:tcPr>
            <w:tcW w:w="4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bCs/>
                <w:color w:val="000000"/>
                <w:highlight w:val="none"/>
                <w:shd w:fill="FFFFFF" w:val="clear"/>
              </w:rPr>
            </w:pPr>
            <w:r>
              <w:rPr>
                <w:b/>
                <w:bCs/>
                <w:color w:val="000000"/>
                <w:shd w:fill="FFFFFF" w:val="clear"/>
              </w:rPr>
              <w:t>5</w:t>
            </w:r>
          </w:p>
        </w:tc>
        <w:tc>
          <w:tcPr>
            <w:tcW w:w="9938" w:type="dxa"/>
            <w:tcBorders>
              <w:top w:val="single" w:sz="8" w:space="0" w:color="000000"/>
              <w:left w:val="single" w:sz="8" w:space="0" w:color="000000"/>
              <w:bottom w:val="single" w:sz="8" w:space="0" w:color="000000"/>
              <w:right w:val="single" w:sz="8" w:space="0" w:color="000000"/>
            </w:tcBorders>
          </w:tcPr>
          <w:p>
            <w:pPr>
              <w:pStyle w:val="13"/>
              <w:widowControl w:val="false"/>
              <w:spacing w:lineRule="auto" w:line="240" w:before="0" w:after="0"/>
              <w:ind w:left="34" w:hanging="21"/>
              <w:contextualSpacing/>
              <w:jc w:val="both"/>
              <w:rPr/>
            </w:pPr>
            <w:r>
              <w:rPr>
                <w:rFonts w:cs="Times New Roman" w:ascii="Times New Roman" w:hAnsi="Times New Roman"/>
                <w:sz w:val="24"/>
                <w:szCs w:val="24"/>
                <w:shd w:fill="FFFFFF" w:val="clear"/>
                <w:lang w:val="uk-UA"/>
              </w:rPr>
              <w:t xml:space="preserve">Довідка (інформація) про  </w:t>
            </w:r>
            <w:r>
              <w:rPr>
                <w:rStyle w:val="Qowtfont2timesnewroman"/>
                <w:rFonts w:cs="Times New Roman"/>
                <w:sz w:val="24"/>
                <w:szCs w:val="24"/>
                <w:shd w:fill="FFFFFF" w:val="clear"/>
                <w:lang w:val="uk-UA"/>
              </w:rPr>
              <w:t xml:space="preserve">відсутність </w:t>
            </w:r>
            <w:r>
              <w:rPr>
                <w:rFonts w:cs="Times New Roman" w:ascii="Times New Roman" w:hAnsi="Times New Roman"/>
                <w:sz w:val="24"/>
                <w:szCs w:val="24"/>
                <w:shd w:fill="FFFFFF" w:val="clear"/>
                <w:lang w:val="uk-UA"/>
              </w:rPr>
              <w:t>застосування санкцій, передбачених статтею 236 ГКУ  наступного змісту:</w:t>
            </w:r>
          </w:p>
          <w:p>
            <w:pPr>
              <w:pStyle w:val="NormalWeb"/>
              <w:widowControl w:val="false"/>
              <w:spacing w:lineRule="auto" w:line="252" w:beforeAutospacing="0" w:before="0" w:afterAutospacing="0" w:after="280"/>
              <w:contextualSpacing/>
              <w:jc w:val="both"/>
              <w:rPr/>
            </w:pPr>
            <w:r>
              <w:rPr>
                <w:shd w:fill="FFFFFF" w:val="clear"/>
                <w:lang w:eastAsia="en-US"/>
              </w:rPr>
              <w:t>“</w:t>
            </w:r>
            <w:r>
              <w:rPr>
                <w:shd w:fill="FFFFFF" w:val="clear"/>
                <w:lang w:eastAsia="en-US"/>
              </w:rPr>
              <w:t xml:space="preserve">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w:t>
            </w:r>
            <w:r>
              <w:rPr>
                <w:rStyle w:val="Qowtfont2timesnewroman"/>
                <w:shd w:fill="FFFFFF" w:val="clear"/>
                <w:lang w:eastAsia="en-US"/>
              </w:rPr>
              <w:t xml:space="preserve">як </w:t>
            </w:r>
            <w:r>
              <w:rPr>
                <w:shd w:fill="FFFFFF" w:val="clear"/>
                <w:lang w:eastAsia="en-US"/>
              </w:rPr>
              <w:t>відмова від встановлення господарських відносин на майбутнє не було застосовано”.</w:t>
            </w:r>
          </w:p>
        </w:tc>
      </w:tr>
    </w:tbl>
    <w:p>
      <w:pPr>
        <w:pStyle w:val="Normal"/>
        <w:jc w:val="both"/>
        <w:rPr>
          <w:b/>
          <w:b/>
          <w:bCs/>
          <w:highlight w:val="none"/>
          <w:shd w:fill="FFFFFF" w:val="clear"/>
        </w:rPr>
      </w:pPr>
      <w:r>
        <w:rPr>
          <w:b/>
          <w:bCs/>
          <w:shd w:fill="FFFFFF" w:val="clear"/>
        </w:rPr>
      </w:r>
      <w:r>
        <w:br w:type="page"/>
      </w:r>
    </w:p>
    <w:p>
      <w:pPr>
        <w:pStyle w:val="Normal"/>
        <w:shd w:val="clear" w:color="auto" w:fill="FFFFFF"/>
        <w:rPr/>
      </w:pPr>
      <w:r>
        <w:rPr/>
      </w:r>
    </w:p>
    <w:p>
      <w:pPr>
        <w:pStyle w:val="Normal"/>
        <w:shd w:val="clear" w:color="auto" w:fill="FFFFFF"/>
        <w:jc w:val="right"/>
        <w:rPr/>
      </w:pPr>
      <w:r>
        <w:rPr>
          <w:b/>
        </w:rPr>
        <w:t>Додаток 2</w:t>
      </w:r>
    </w:p>
    <w:p>
      <w:pPr>
        <w:pStyle w:val="Normal"/>
        <w:shd w:val="clear" w:color="auto" w:fill="FFFFFF"/>
        <w:jc w:val="right"/>
        <w:rPr/>
      </w:pPr>
      <w:r>
        <w:rPr/>
        <w:t xml:space="preserve"> </w:t>
      </w:r>
      <w:r>
        <w:rPr/>
        <w:t>до документації</w:t>
      </w:r>
    </w:p>
    <w:p>
      <w:pPr>
        <w:pStyle w:val="Normal"/>
        <w:shd w:val="clear" w:color="auto" w:fill="FFFFFF"/>
        <w:rPr/>
      </w:pPr>
      <w:r>
        <w:rPr/>
      </w:r>
    </w:p>
    <w:p>
      <w:pPr>
        <w:pStyle w:val="Normal"/>
        <w:shd w:val="clear" w:color="auto" w:fill="FFFFFF"/>
        <w:jc w:val="center"/>
        <w:rPr>
          <w:b/>
          <w:b/>
        </w:rPr>
      </w:pPr>
      <w:r>
        <w:rPr>
          <w:b/>
        </w:rPr>
      </w:r>
    </w:p>
    <w:p>
      <w:pPr>
        <w:pStyle w:val="14"/>
        <w:spacing w:lineRule="atLeast" w:line="240" w:before="0" w:after="0"/>
        <w:ind w:firstLine="709"/>
        <w:contextualSpacing/>
        <w:jc w:val="center"/>
        <w:rPr>
          <w:rFonts w:ascii="Times New Roman" w:hAnsi="Times New Roman"/>
          <w:b/>
          <w:b/>
          <w:sz w:val="24"/>
          <w:szCs w:val="24"/>
        </w:rPr>
      </w:pPr>
      <w:r>
        <w:rPr>
          <w:rFonts w:ascii="Times New Roman" w:hAnsi="Times New Roman"/>
          <w:b/>
          <w:sz w:val="24"/>
          <w:szCs w:val="24"/>
        </w:rPr>
        <w:t>ТЕХНІЧНІ ВИМОГИ</w:t>
      </w:r>
    </w:p>
    <w:p>
      <w:pPr>
        <w:pStyle w:val="Normal"/>
        <w:shd w:val="clear" w:color="auto" w:fill="FFFFFF"/>
        <w:jc w:val="center"/>
        <w:rPr>
          <w:highlight w:val="none"/>
          <w:shd w:fill="FFFFFF" w:val="clear"/>
        </w:rPr>
      </w:pPr>
      <w:r>
        <w:rPr>
          <w:b/>
          <w:bCs/>
          <w:shd w:fill="FFFFFF" w:val="clear"/>
        </w:rPr>
        <w:t xml:space="preserve">до предмету закупівлі: </w:t>
      </w:r>
      <w:bookmarkStart w:id="25" w:name="_Hlk450923002"/>
      <w:r>
        <w:rPr>
          <w:b/>
          <w:bCs/>
          <w:shd w:fill="FFFFFF" w:val="clear"/>
        </w:rPr>
        <w:t xml:space="preserve">Код за ДК 021:2015: 33600000-6: Фармацевтична продукція </w:t>
      </w:r>
      <w:bookmarkEnd w:id="25"/>
    </w:p>
    <w:p>
      <w:pPr>
        <w:pStyle w:val="Normal"/>
        <w:rPr>
          <w:highlight w:val="none"/>
          <w:shd w:fill="FFFFFF" w:val="clear"/>
        </w:rPr>
      </w:pPr>
      <w:r>
        <w:rPr>
          <w:shd w:fill="FFFFFF" w:val="clear"/>
        </w:rPr>
        <w:t>(</w:t>
      </w:r>
      <w:r>
        <w:rPr>
          <w:shd w:fill="FFFFFF" w:val="clear"/>
          <w:lang w:val="en-US"/>
        </w:rPr>
        <w:t>Ammonia</w:t>
      </w:r>
      <w:r>
        <w:rPr>
          <w:shd w:fill="FFFFFF" w:val="clear"/>
        </w:rPr>
        <w:t xml:space="preserve"> ; </w:t>
      </w:r>
      <w:r>
        <w:rPr>
          <w:shd w:fill="FFFFFF" w:val="clear"/>
          <w:lang w:val="en-US"/>
        </w:rPr>
        <w:t>Metamizole sodium</w:t>
      </w:r>
      <w:r>
        <w:rPr>
          <w:shd w:fill="FFFFFF" w:val="clear"/>
        </w:rPr>
        <w:t xml:space="preserve">; </w:t>
      </w:r>
      <w:r>
        <w:rPr>
          <w:shd w:fill="FFFFFF" w:val="clear"/>
          <w:lang w:val="en-US"/>
        </w:rPr>
        <w:t>Glucose</w:t>
      </w:r>
      <w:r>
        <w:rPr>
          <w:shd w:fill="FFFFFF" w:val="clear"/>
        </w:rPr>
        <w:t xml:space="preserve">; </w:t>
      </w:r>
      <w:r>
        <w:rPr>
          <w:shd w:fill="FFFFFF" w:val="clear"/>
          <w:lang w:val="en-US"/>
        </w:rPr>
        <w:t>Diclofenac</w:t>
      </w:r>
      <w:r>
        <w:rPr>
          <w:shd w:fill="FFFFFF" w:val="clear"/>
        </w:rPr>
        <w:t>;</w:t>
      </w:r>
      <w:r>
        <w:rPr>
          <w:shd w:fill="FFFFFF" w:val="clear"/>
          <w:lang w:val="en-US"/>
        </w:rPr>
        <w:t>Drotaverine</w:t>
      </w:r>
      <w:r>
        <w:rPr>
          <w:shd w:fill="FFFFFF" w:val="clear"/>
        </w:rPr>
        <w:t xml:space="preserve">; </w:t>
      </w:r>
      <w:r>
        <w:rPr>
          <w:shd w:fill="FFFFFF" w:val="clear"/>
          <w:lang w:val="en-US"/>
        </w:rPr>
        <w:t>Theophylline</w:t>
      </w:r>
      <w:r>
        <w:rPr>
          <w:shd w:fill="FFFFFF" w:val="clear"/>
        </w:rPr>
        <w:t xml:space="preserve">; </w:t>
      </w:r>
      <w:r>
        <w:rPr>
          <w:shd w:fill="FFFFFF" w:val="clear"/>
          <w:lang w:val="en-US"/>
        </w:rPr>
        <w:t>Captopril</w:t>
      </w:r>
      <w:r>
        <w:rPr>
          <w:shd w:fill="FFFFFF" w:val="clear"/>
        </w:rPr>
        <w:t xml:space="preserve">; </w:t>
      </w:r>
      <w:r>
        <w:rPr>
          <w:shd w:fill="FFFFFF" w:val="clear"/>
          <w:lang w:val="en-US"/>
        </w:rPr>
        <w:t>Levofloxacin</w:t>
      </w:r>
      <w:r>
        <w:rPr>
          <w:shd w:fill="FFFFFF" w:val="clear"/>
        </w:rPr>
        <w:t>;</w:t>
      </w:r>
    </w:p>
    <w:p>
      <w:pPr>
        <w:pStyle w:val="Normal"/>
        <w:rPr>
          <w:highlight w:val="none"/>
          <w:shd w:fill="FFFFFF" w:val="clear"/>
        </w:rPr>
      </w:pPr>
      <w:r>
        <w:rPr>
          <w:color w:val="000000"/>
          <w:shd w:fill="FFFFFF" w:val="clear"/>
          <w:lang w:val="en-US"/>
        </w:rPr>
        <w:t>Loratadine</w:t>
      </w:r>
      <w:r>
        <w:rPr>
          <w:color w:val="000000"/>
          <w:shd w:fill="FFFFFF" w:val="clear"/>
        </w:rPr>
        <w:t xml:space="preserve">; </w:t>
      </w:r>
      <w:r>
        <w:rPr>
          <w:shd w:fill="FFFFFF" w:val="clear"/>
          <w:lang w:val="en-US"/>
        </w:rPr>
        <w:t>Phenylephrine</w:t>
      </w:r>
      <w:r>
        <w:rPr>
          <w:shd w:fill="FFFFFF" w:val="clear"/>
        </w:rPr>
        <w:t xml:space="preserve">; </w:t>
      </w:r>
      <w:r>
        <w:rPr>
          <w:shd w:fill="FFFFFF" w:val="clear"/>
          <w:lang w:val="en-US"/>
        </w:rPr>
        <w:t>Glyceryl trinitrate</w:t>
      </w:r>
      <w:r>
        <w:rPr>
          <w:shd w:fill="FFFFFF" w:val="clear"/>
        </w:rPr>
        <w:t xml:space="preserve">; </w:t>
      </w:r>
      <w:r>
        <w:rPr>
          <w:shd w:fill="FFFFFF" w:val="clear"/>
          <w:lang w:val="en-US"/>
        </w:rPr>
        <w:t>Prednisolone</w:t>
      </w:r>
      <w:r>
        <w:rPr>
          <w:shd w:fill="FFFFFF" w:val="clear"/>
        </w:rPr>
        <w:t xml:space="preserve">; </w:t>
      </w:r>
      <w:r>
        <w:rPr>
          <w:shd w:fill="FFFFFF" w:val="clear"/>
          <w:lang w:val="en-US"/>
        </w:rPr>
        <w:t>Prednisolone</w:t>
      </w:r>
      <w:r>
        <w:rPr>
          <w:shd w:fill="FFFFFF" w:val="clear"/>
        </w:rPr>
        <w:t>;</w:t>
      </w:r>
      <w:r>
        <w:rPr>
          <w:shd w:fill="FFFFFF" w:val="clear"/>
          <w:lang w:val="en-US"/>
        </w:rPr>
        <w:t>Nifedipine</w:t>
      </w:r>
      <w:r>
        <w:rPr>
          <w:shd w:fill="FFFFFF" w:val="clear"/>
        </w:rPr>
        <w:t xml:space="preserve">; </w:t>
      </w:r>
      <w:r>
        <w:rPr>
          <w:shd w:fill="FFFFFF" w:val="clear"/>
          <w:lang w:val="en-US"/>
        </w:rPr>
        <w:t>Chlorhexidine</w:t>
      </w:r>
      <w:r>
        <w:rPr>
          <w:shd w:fill="FFFFFF" w:val="clear"/>
        </w:rPr>
        <w:t>)</w:t>
      </w:r>
    </w:p>
    <w:p>
      <w:pPr>
        <w:pStyle w:val="Normal"/>
        <w:jc w:val="center"/>
        <w:rPr>
          <w:color w:val="000000"/>
          <w:highlight w:val="none"/>
          <w:shd w:fill="FFFFFF" w:val="clear"/>
        </w:rPr>
      </w:pPr>
      <w:r>
        <w:rPr>
          <w:color w:val="000000"/>
          <w:shd w:fill="FFFFFF" w:val="clear"/>
        </w:rPr>
      </w:r>
    </w:p>
    <w:p>
      <w:pPr>
        <w:pStyle w:val="Normal"/>
        <w:jc w:val="both"/>
        <w:rPr>
          <w:color w:val="000000"/>
          <w:highlight w:val="none"/>
          <w:shd w:fill="FFFFFF" w:val="clear"/>
        </w:rPr>
      </w:pPr>
      <w:r>
        <w:rPr>
          <w:color w:val="000000"/>
          <w:shd w:fill="FFFFFF" w:val="clear"/>
        </w:rPr>
      </w:r>
    </w:p>
    <w:p>
      <w:pPr>
        <w:pStyle w:val="15"/>
        <w:tabs>
          <w:tab w:val="clear" w:pos="720"/>
          <w:tab w:val="left" w:pos="0" w:leader="none"/>
        </w:tabs>
        <w:ind w:left="426" w:right="56" w:hanging="0"/>
        <w:rPr>
          <w:highlight w:val="none"/>
          <w:shd w:fill="FFFFFF" w:val="clear"/>
        </w:rPr>
      </w:pPr>
      <w:r>
        <w:rPr>
          <w:b/>
          <w:szCs w:val="24"/>
          <w:shd w:fill="FFFFFF" w:val="clear"/>
          <w:lang w:val="uk-UA"/>
        </w:rPr>
        <w:t>1.Запропоновані учасником товари повинні відповідати наступним медико-технічним та якісним вимогам</w:t>
      </w:r>
      <w:r>
        <w:rPr>
          <w:szCs w:val="24"/>
          <w:shd w:fill="FFFFFF" w:val="clear"/>
          <w:lang w:val="uk-UA"/>
        </w:rPr>
        <w:t>:</w:t>
      </w:r>
    </w:p>
    <w:p>
      <w:pPr>
        <w:pStyle w:val="Normal"/>
        <w:tabs>
          <w:tab w:val="clear" w:pos="720"/>
          <w:tab w:val="left" w:pos="0" w:leader="none"/>
          <w:tab w:val="left" w:pos="1134" w:leader="none"/>
        </w:tabs>
        <w:spacing w:before="60" w:after="0"/>
        <w:ind w:right="57" w:hanging="0"/>
        <w:jc w:val="both"/>
        <w:rPr>
          <w:highlight w:val="none"/>
          <w:shd w:fill="FFFFFF" w:val="clear"/>
        </w:rPr>
      </w:pPr>
      <w:r>
        <w:rPr>
          <w:shd w:fill="FFFFFF" w:val="clear"/>
        </w:rPr>
        <w:t>1.1. Поставка лікарських засобів здійснюється за рахунок Учасника згідно письмової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або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 ( надати довідку в довільній формі від Учасника).</w:t>
      </w:r>
    </w:p>
    <w:p>
      <w:pPr>
        <w:pStyle w:val="Normal"/>
        <w:tabs>
          <w:tab w:val="clear" w:pos="720"/>
          <w:tab w:val="left" w:pos="0" w:leader="none"/>
          <w:tab w:val="left" w:pos="1134" w:leader="none"/>
        </w:tabs>
        <w:spacing w:before="60" w:after="0"/>
        <w:ind w:right="57" w:hanging="0"/>
        <w:jc w:val="both"/>
        <w:rPr>
          <w:highlight w:val="none"/>
          <w:shd w:fill="FFFFFF" w:val="clear"/>
        </w:rPr>
      </w:pPr>
      <w:r>
        <w:rPr>
          <w:shd w:fill="FFFFFF" w:val="clear"/>
        </w:rPr>
        <w:t>1.2.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 ( надати довідку в довільній формі від Учасника).</w:t>
      </w:r>
    </w:p>
    <w:p>
      <w:pPr>
        <w:pStyle w:val="Normal"/>
        <w:tabs>
          <w:tab w:val="clear" w:pos="720"/>
          <w:tab w:val="left" w:pos="0" w:leader="none"/>
          <w:tab w:val="left" w:pos="1134" w:leader="none"/>
        </w:tabs>
        <w:spacing w:before="60" w:after="0"/>
        <w:ind w:right="57" w:hanging="0"/>
        <w:jc w:val="both"/>
        <w:rPr>
          <w:highlight w:val="none"/>
          <w:shd w:fill="FFFFFF" w:val="clear"/>
        </w:rPr>
      </w:pPr>
      <w:r>
        <w:rPr>
          <w:shd w:fill="FFFFFF" w:val="clear"/>
        </w:rPr>
        <w:t>1.3. Залишковий термін придатності лікарських засобів на момент постачання повинен складати не менше ніж 12 місяців загального строку придатності визначеного виробником. ( надати довідку в довільній формі від Учасника).</w:t>
      </w:r>
    </w:p>
    <w:p>
      <w:pPr>
        <w:pStyle w:val="Normal"/>
        <w:tabs>
          <w:tab w:val="clear" w:pos="720"/>
          <w:tab w:val="left" w:pos="0" w:leader="none"/>
          <w:tab w:val="left" w:pos="1134" w:leader="none"/>
        </w:tabs>
        <w:spacing w:before="60" w:after="0"/>
        <w:ind w:right="57" w:hanging="0"/>
        <w:jc w:val="both"/>
        <w:rPr>
          <w:highlight w:val="none"/>
          <w:shd w:fill="FFFFFF" w:val="clear"/>
        </w:rPr>
      </w:pPr>
      <w:r>
        <w:rPr>
          <w:shd w:fill="FFFFFF" w:val="clear"/>
        </w:rPr>
        <w:t>1.4. У разі якщо товар виявляється неякісним, фальсифікованим згідно інформаційного листа Держінспекції з контролю якості лікарських засобів, то заміна, повернення, знищення проводиться за рахунок Учасника. ( надати довідку в довільній формі від Учасника).</w:t>
      </w:r>
    </w:p>
    <w:p>
      <w:pPr>
        <w:pStyle w:val="Normal"/>
        <w:tabs>
          <w:tab w:val="clear" w:pos="720"/>
          <w:tab w:val="left" w:pos="142" w:leader="none"/>
          <w:tab w:val="left" w:pos="1134" w:leader="none"/>
        </w:tabs>
        <w:spacing w:before="60" w:after="0"/>
        <w:ind w:right="57" w:hanging="0"/>
        <w:jc w:val="both"/>
        <w:rPr>
          <w:highlight w:val="none"/>
          <w:shd w:fill="FFFFFF" w:val="clear"/>
        </w:rPr>
      </w:pPr>
      <w:r>
        <w:rPr>
          <w:shd w:fill="FFFFFF" w:val="clear"/>
        </w:rPr>
      </w:r>
    </w:p>
    <w:p>
      <w:pPr>
        <w:pStyle w:val="Normal"/>
        <w:tabs>
          <w:tab w:val="clear" w:pos="720"/>
          <w:tab w:val="left" w:pos="0" w:leader="none"/>
        </w:tabs>
        <w:suppressAutoHyphens w:val="false"/>
        <w:spacing w:before="60" w:after="0"/>
        <w:ind w:left="142" w:right="57" w:hanging="0"/>
        <w:jc w:val="both"/>
        <w:rPr>
          <w:highlight w:val="none"/>
          <w:shd w:fill="FFFFFF" w:val="clear"/>
        </w:rPr>
      </w:pPr>
      <w:r>
        <w:rPr>
          <w:b/>
          <w:bCs/>
          <w:shd w:fill="FFFFFF" w:val="clear"/>
        </w:rPr>
        <w:t>2.Якісні та кількісні характеристики предмета закупівлі:</w:t>
      </w:r>
    </w:p>
    <w:tbl>
      <w:tblPr>
        <w:tblpPr w:bottomFromText="0" w:horzAnchor="margin" w:leftFromText="180" w:rightFromText="180" w:tblpX="108" w:tblpY="69" w:topFromText="0" w:vertAnchor="text"/>
        <w:tblW w:w="10407" w:type="dxa"/>
        <w:jc w:val="left"/>
        <w:tblInd w:w="108" w:type="dxa"/>
        <w:tblLayout w:type="fixed"/>
        <w:tblCellMar>
          <w:top w:w="0" w:type="dxa"/>
          <w:left w:w="108" w:type="dxa"/>
          <w:bottom w:w="0" w:type="dxa"/>
          <w:right w:w="108" w:type="dxa"/>
        </w:tblCellMar>
        <w:tblLook w:val="00a0"/>
      </w:tblPr>
      <w:tblGrid>
        <w:gridCol w:w="626"/>
        <w:gridCol w:w="2374"/>
        <w:gridCol w:w="5414"/>
        <w:gridCol w:w="1131"/>
        <w:gridCol w:w="862"/>
      </w:tblGrid>
      <w:tr>
        <w:trPr>
          <w:trHeight w:val="702" w:hRule="atLeast"/>
        </w:trPr>
        <w:tc>
          <w:tcPr>
            <w:tcW w:w="6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0"/>
                <w:szCs w:val="20"/>
                <w:highlight w:val="none"/>
                <w:shd w:fill="FFFFFF" w:val="clear"/>
              </w:rPr>
            </w:pPr>
            <w:r>
              <w:rPr>
                <w:sz w:val="20"/>
                <w:szCs w:val="20"/>
                <w:shd w:fill="FFFFFF" w:val="clear"/>
              </w:rPr>
              <w:t>№</w:t>
            </w:r>
          </w:p>
        </w:tc>
        <w:tc>
          <w:tcPr>
            <w:tcW w:w="23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0"/>
                <w:szCs w:val="20"/>
                <w:highlight w:val="none"/>
                <w:shd w:fill="FFFFFF" w:val="clear"/>
              </w:rPr>
            </w:pPr>
            <w:r>
              <w:rPr>
                <w:sz w:val="20"/>
                <w:szCs w:val="20"/>
                <w:shd w:fill="FFFFFF" w:val="clear"/>
              </w:rPr>
              <w:t>МНН лікарських засобів                                      (та в деяких випадках особливості їх застосування)</w:t>
            </w:r>
          </w:p>
        </w:tc>
        <w:tc>
          <w:tcPr>
            <w:tcW w:w="54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sz w:val="20"/>
                <w:szCs w:val="20"/>
                <w:highlight w:val="none"/>
                <w:shd w:fill="FFFFFF" w:val="clear"/>
              </w:rPr>
            </w:pPr>
            <w:r>
              <w:rPr>
                <w:sz w:val="20"/>
                <w:szCs w:val="20"/>
                <w:shd w:fill="FFFFFF" w:val="clear"/>
              </w:rPr>
              <w:t>Форма випуску лікарського засобу</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sz w:val="20"/>
                <w:szCs w:val="20"/>
                <w:highlight w:val="none"/>
                <w:shd w:fill="FFFFFF" w:val="clear"/>
              </w:rPr>
            </w:pPr>
            <w:r>
              <w:rPr>
                <w:sz w:val="20"/>
                <w:szCs w:val="20"/>
                <w:shd w:fill="FFFFFF" w:val="clear"/>
              </w:rPr>
              <w:t>Од.</w:t>
            </w:r>
          </w:p>
          <w:p>
            <w:pPr>
              <w:pStyle w:val="Normal"/>
              <w:widowControl w:val="false"/>
              <w:ind w:right="-108" w:hanging="0"/>
              <w:jc w:val="center"/>
              <w:rPr>
                <w:sz w:val="20"/>
                <w:szCs w:val="20"/>
                <w:highlight w:val="none"/>
                <w:shd w:fill="FFFFFF" w:val="clear"/>
              </w:rPr>
            </w:pPr>
            <w:r>
              <w:rPr>
                <w:sz w:val="20"/>
                <w:szCs w:val="20"/>
                <w:shd w:fill="FFFFFF" w:val="clear"/>
              </w:rPr>
              <w:t>виміру</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sz w:val="20"/>
                <w:szCs w:val="20"/>
                <w:highlight w:val="none"/>
                <w:shd w:fill="FFFFFF" w:val="clear"/>
              </w:rPr>
            </w:pPr>
            <w:r>
              <w:rPr>
                <w:sz w:val="20"/>
                <w:szCs w:val="20"/>
                <w:shd w:fill="FFFFFF" w:val="clear"/>
              </w:rPr>
              <w:t>Кількість</w:t>
            </w:r>
          </w:p>
        </w:tc>
      </w:tr>
      <w:tr>
        <w:trPr>
          <w:trHeight w:val="207"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Амоній (Ammonia*)</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Аміак</w:t>
            </w:r>
            <w:r>
              <w:rPr>
                <w:sz w:val="20"/>
                <w:szCs w:val="20"/>
                <w:shd w:fill="FFFFFF" w:val="clear"/>
              </w:rPr>
              <w:t xml:space="preserve"> розчин для зовнішнього застосування    ,0,1,по 40 мл у флаконах з маркуванням українською мовою .</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флакон</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30</w:t>
            </w:r>
          </w:p>
        </w:tc>
      </w:tr>
      <w:tr>
        <w:trPr>
          <w:trHeight w:val="285"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Метамізол натрію (Metamizole sodium)</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АНАЛЬГІН</w:t>
            </w:r>
            <w:r>
              <w:rPr>
                <w:sz w:val="20"/>
                <w:szCs w:val="20"/>
                <w:shd w:fill="FFFFFF" w:val="clear"/>
              </w:rPr>
              <w:t xml:space="preserve">  розчин для ін'єкцій,500 мг/мл, по 2 мл в ампулі; по 5 ампул у контурній чарунковій упаковці; по 2 контурні чарункові упаковки у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100</w:t>
            </w:r>
          </w:p>
        </w:tc>
      </w:tr>
      <w:tr>
        <w:trPr>
          <w:trHeight w:val="280"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декстроза/глюкоза (монопрепарат та його комбінації) (Glucose)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ГЛЮКОЗА</w:t>
            </w:r>
            <w:r>
              <w:rPr>
                <w:sz w:val="20"/>
                <w:szCs w:val="20"/>
                <w:shd w:fill="FFFFFF" w:val="clear"/>
              </w:rPr>
              <w:t xml:space="preserve">  розчин для ін'єкцій,0,4,по 10 мл в ампулі скляній; по 10 ампул у пачці. Маркування українською та російською мовами.</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30</w:t>
            </w:r>
          </w:p>
        </w:tc>
      </w:tr>
      <w:tr>
        <w:trPr>
          <w:trHeight w:val="285"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Диклофенак (Diclofenac)</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ДИКЛОФЕНАК</w:t>
            </w:r>
            <w:r>
              <w:rPr>
                <w:sz w:val="20"/>
                <w:szCs w:val="20"/>
                <w:shd w:fill="FFFFFF" w:val="clear"/>
              </w:rPr>
              <w:t xml:space="preserve">  розчин для ін'єкцій,25 мг/мл,по 3 мл в ампулі; по 5 ампул у контурній чарунковій упаковці; по 1 контурні чарункові упаковки у пачці; .</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30</w:t>
            </w:r>
          </w:p>
        </w:tc>
      </w:tr>
      <w:tr>
        <w:trPr>
          <w:trHeight w:val="413"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Дротаверин (Drotaverine)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ДРОТАВЕРИН</w:t>
            </w:r>
            <w:r>
              <w:rPr>
                <w:sz w:val="20"/>
                <w:szCs w:val="20"/>
                <w:shd w:fill="FFFFFF" w:val="clear"/>
              </w:rPr>
              <w:t xml:space="preserve">  розчин для ін'єкцій,20 мг/мл,по 2 мл в ампулі; по 5 ампул у контурній чарунковій упаковці; по 1 контурній чарунковій упаковці у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50</w:t>
            </w:r>
          </w:p>
        </w:tc>
      </w:tr>
      <w:tr>
        <w:trPr>
          <w:trHeight w:val="295"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Теофілін (Theophylline)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ЕУФІЛІН</w:t>
            </w:r>
            <w:r>
              <w:rPr>
                <w:sz w:val="20"/>
                <w:szCs w:val="20"/>
                <w:shd w:fill="FFFFFF" w:val="clear"/>
              </w:rPr>
              <w:t xml:space="preserve">  розчин для ін'єкцій,20 мг/мл, по 5 мл в ампулі; по 10 ампул в коробці; по 5 ампул у контурній чарунковій упаковці; по 2 контурні чарункові упаковки в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100</w:t>
            </w:r>
          </w:p>
        </w:tc>
      </w:tr>
      <w:tr>
        <w:trPr>
          <w:trHeight w:val="272"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Каптоприл (Captopril)</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КАПТОПРИЛ</w:t>
            </w:r>
            <w:r>
              <w:rPr>
                <w:sz w:val="20"/>
                <w:szCs w:val="20"/>
                <w:shd w:fill="FFFFFF" w:val="clear"/>
              </w:rPr>
              <w:t xml:space="preserve">  таблетки,25 мг,по 10 таблеток у блістері; по 2 блістери в пачці з маркуванням українською мовою.</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60</w:t>
            </w:r>
          </w:p>
        </w:tc>
      </w:tr>
      <w:tr>
        <w:trPr>
          <w:trHeight w:val="276"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Левофлоксацин (Levofloxacin)</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ЛЕФЛОК</w:t>
            </w:r>
            <w:r>
              <w:rPr>
                <w:sz w:val="20"/>
                <w:szCs w:val="20"/>
                <w:shd w:fill="FFFFFF" w:val="clear"/>
              </w:rPr>
              <w:t xml:space="preserve">  таблетки, вкриті плівковою оболонкою,500 мг,по 5 таблеток у контурній чарунковій упаковці, по 1 контурній чарунковій упаковці в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35</w:t>
            </w:r>
          </w:p>
        </w:tc>
      </w:tr>
      <w:tr>
        <w:trPr>
          <w:trHeight w:val="239"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18"/>
                <w:szCs w:val="18"/>
                <w:highlight w:val="none"/>
                <w:shd w:fill="FFFFFF" w:val="clear"/>
              </w:rPr>
            </w:pPr>
            <w:r>
              <w:rPr>
                <w:color w:val="000000"/>
                <w:sz w:val="18"/>
                <w:szCs w:val="18"/>
                <w:shd w:fill="FFFFFF" w:val="clear"/>
              </w:rPr>
              <w:t>Лоратадин (Loratadine)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color w:val="000000"/>
                <w:sz w:val="18"/>
                <w:szCs w:val="18"/>
                <w:shd w:fill="FFFFFF" w:val="clear"/>
              </w:rPr>
              <w:t>ЛОРАТАДИН</w:t>
            </w:r>
            <w:r>
              <w:rPr>
                <w:sz w:val="20"/>
                <w:szCs w:val="20"/>
                <w:shd w:fill="FFFFFF" w:val="clear"/>
              </w:rPr>
              <w:t xml:space="preserve">  таблетки,10 мг,по 10 таблеток у блістері; по 1 блістеру в пачці з маркуванням українською мовою.</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bookmarkStart w:id="26" w:name="_GoBack"/>
            <w:bookmarkEnd w:id="26"/>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40</w:t>
            </w:r>
          </w:p>
        </w:tc>
      </w:tr>
      <w:tr>
        <w:trPr>
          <w:trHeight w:val="220"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Фенілефрин (Phenylephrine)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Мезатон</w:t>
            </w:r>
            <w:r>
              <w:rPr>
                <w:sz w:val="20"/>
                <w:szCs w:val="20"/>
                <w:shd w:fill="FFFFFF" w:val="clear"/>
              </w:rPr>
              <w:t xml:space="preserve">  розчин для ін'єкцій ,10 мг/мл,по 1 мл в ампулі, по 10 ампул у пачці з маркуванням українською та російською мовами.</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1</w:t>
            </w:r>
          </w:p>
        </w:tc>
      </w:tr>
      <w:tr>
        <w:trPr>
          <w:trHeight w:val="238"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Нітрогліцерин (Glyceryl trinitrate)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0"/>
                <w:szCs w:val="20"/>
                <w:highlight w:val="none"/>
                <w:shd w:fill="FFFFFF" w:val="clear"/>
              </w:rPr>
            </w:pPr>
            <w:r>
              <w:rPr>
                <w:bCs/>
                <w:sz w:val="20"/>
                <w:szCs w:val="20"/>
                <w:shd w:fill="FFFFFF" w:val="clear"/>
              </w:rPr>
              <w:t>Нітрогліцерин</w:t>
            </w:r>
            <w:r>
              <w:rPr>
                <w:sz w:val="20"/>
                <w:szCs w:val="20"/>
                <w:shd w:fill="FFFFFF" w:val="clear"/>
              </w:rPr>
              <w:t xml:space="preserve">  таблетки сублінгвальні,0,5 мг,40 таблеток у контейнері, по 1 контейнеру у пачці з картону.</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10</w:t>
            </w:r>
          </w:p>
        </w:tc>
      </w:tr>
      <w:tr>
        <w:trPr>
          <w:trHeight w:val="282"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Преднізолон (Prednisolone)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ПРЕДНІЗОЛОН</w:t>
            </w:r>
            <w:r>
              <w:rPr>
                <w:sz w:val="20"/>
                <w:szCs w:val="20"/>
                <w:shd w:fill="FFFFFF" w:val="clear"/>
              </w:rPr>
              <w:t xml:space="preserve"> розчин для ін'єкцій,30 мг/мл,по 1 мл в ампулі; по 5 ампул у контурній чарунковій упаковці; по 1 контурній чарунковій упаковці у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60</w:t>
            </w:r>
          </w:p>
        </w:tc>
      </w:tr>
      <w:tr>
        <w:trPr>
          <w:trHeight w:val="413"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18"/>
                <w:szCs w:val="18"/>
                <w:highlight w:val="none"/>
                <w:shd w:fill="FFFFFF" w:val="clear"/>
              </w:rPr>
            </w:pPr>
            <w:r>
              <w:rPr>
                <w:sz w:val="18"/>
                <w:szCs w:val="18"/>
                <w:shd w:fill="FFFFFF" w:val="clear"/>
              </w:rPr>
              <w:t>Преднізолон (Prednisolone)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ПРЕДНІЗОЛОН</w:t>
            </w:r>
            <w:r>
              <w:rPr>
                <w:sz w:val="20"/>
                <w:szCs w:val="20"/>
                <w:shd w:fill="FFFFFF" w:val="clear"/>
              </w:rPr>
              <w:t xml:space="preserve">  таблетки,5 мг,по 10 таблеток у контурній чарунковій упаковці, по 4 контурні чарункові</w:t>
            </w:r>
            <w:r>
              <w:rPr>
                <w:sz w:val="20"/>
                <w:szCs w:val="20"/>
                <w:shd w:fill="FFFFFF" w:val="clear"/>
              </w:rPr>
              <w:t>й</w:t>
            </w:r>
            <w:r>
              <w:rPr>
                <w:sz w:val="20"/>
                <w:szCs w:val="20"/>
                <w:shd w:fill="FFFFFF" w:val="clear"/>
              </w:rPr>
              <w:t xml:space="preserve"> упаков</w:t>
            </w:r>
            <w:r>
              <w:rPr>
                <w:sz w:val="20"/>
                <w:szCs w:val="20"/>
                <w:shd w:fill="FFFFFF" w:val="clear"/>
              </w:rPr>
              <w:t>ці</w:t>
            </w:r>
            <w:r>
              <w:rPr>
                <w:sz w:val="20"/>
                <w:szCs w:val="20"/>
                <w:shd w:fill="FFFFFF" w:val="clear"/>
              </w:rPr>
              <w:t xml:space="preserve"> у пачці</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50</w:t>
            </w:r>
          </w:p>
        </w:tc>
      </w:tr>
      <w:tr>
        <w:trPr>
          <w:trHeight w:val="270"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Ніфедипін (Nifedipine)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 xml:space="preserve">ФАРМАДИПІН® </w:t>
            </w:r>
            <w:r>
              <w:rPr>
                <w:sz w:val="20"/>
                <w:szCs w:val="20"/>
                <w:shd w:fill="FFFFFF" w:val="clear"/>
              </w:rPr>
              <w:t>краплі оральні,0,02,по 25 мл у флаконі; по 1 флакону в пачці з картону з маркуванням українською та російською мовами.</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упаковка</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60</w:t>
            </w:r>
          </w:p>
        </w:tc>
      </w:tr>
      <w:tr>
        <w:trPr>
          <w:trHeight w:val="429" w:hRule="atLeast"/>
        </w:trPr>
        <w:tc>
          <w:tcPr>
            <w:tcW w:w="62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spacing w:before="0" w:after="160"/>
              <w:contextualSpacing/>
              <w:jc w:val="center"/>
              <w:rPr>
                <w:rFonts w:ascii="Times New Roman" w:hAnsi="Times New Roman"/>
                <w:sz w:val="20"/>
                <w:szCs w:val="20"/>
                <w:highlight w:val="none"/>
                <w:shd w:fill="FFFFFF" w:val="clear"/>
                <w:lang w:val="uk-UA" w:eastAsia="ru-RU"/>
              </w:rPr>
            </w:pPr>
            <w:r>
              <w:rPr>
                <w:rFonts w:ascii="Times New Roman" w:hAnsi="Times New Roman"/>
                <w:sz w:val="20"/>
                <w:szCs w:val="20"/>
                <w:shd w:fill="FFFFFF" w:val="clear"/>
                <w:lang w:val="uk-UA" w:eastAsia="ru-RU"/>
              </w:rPr>
            </w:r>
          </w:p>
        </w:tc>
        <w:tc>
          <w:tcPr>
            <w:tcW w:w="23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8"/>
                <w:szCs w:val="18"/>
                <w:highlight w:val="none"/>
                <w:shd w:fill="FFFFFF" w:val="clear"/>
              </w:rPr>
            </w:pPr>
            <w:r>
              <w:rPr>
                <w:sz w:val="18"/>
                <w:szCs w:val="18"/>
                <w:shd w:fill="FFFFFF" w:val="clear"/>
              </w:rPr>
              <w:t>Хлоргексидин (Chlorhexidine)</w:t>
            </w:r>
          </w:p>
        </w:tc>
        <w:tc>
          <w:tcPr>
            <w:tcW w:w="5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highlight w:val="none"/>
                <w:shd w:fill="FFFFFF" w:val="clear"/>
              </w:rPr>
            </w:pPr>
            <w:r>
              <w:rPr>
                <w:bCs/>
                <w:sz w:val="18"/>
                <w:szCs w:val="18"/>
                <w:shd w:fill="FFFFFF" w:val="clear"/>
              </w:rPr>
              <w:t>ХЛОРГЕКСИДИН</w:t>
            </w:r>
            <w:r>
              <w:rPr>
                <w:sz w:val="20"/>
                <w:szCs w:val="20"/>
                <w:shd w:fill="FFFFFF" w:val="clear"/>
              </w:rPr>
              <w:t xml:space="preserve">  розчин для зовнішнього застосування 0,05 % ,100 мл розчину містить розчину хлоргексидину глюконату (20 %) - 0,25 мл,по 100 мл у флаконах з маркуванням українською мовою.</w:t>
            </w:r>
          </w:p>
        </w:tc>
        <w:tc>
          <w:tcPr>
            <w:tcW w:w="113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флакон</w:t>
            </w:r>
          </w:p>
        </w:tc>
        <w:tc>
          <w:tcPr>
            <w:tcW w:w="8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0"/>
                <w:szCs w:val="20"/>
                <w:highlight w:val="none"/>
                <w:shd w:fill="FFFFFF" w:val="clear"/>
              </w:rPr>
            </w:pPr>
            <w:r>
              <w:rPr>
                <w:sz w:val="20"/>
                <w:szCs w:val="20"/>
                <w:shd w:fill="FFFFFF" w:val="clear"/>
              </w:rPr>
              <w:t>200</w:t>
            </w:r>
          </w:p>
        </w:tc>
      </w:tr>
    </w:tbl>
    <w:p>
      <w:pPr>
        <w:pStyle w:val="Normal"/>
        <w:numPr>
          <w:ilvl w:val="0"/>
          <w:numId w:val="3"/>
        </w:numPr>
        <w:suppressAutoHyphens w:val="false"/>
        <w:spacing w:before="120" w:after="0"/>
        <w:jc w:val="both"/>
        <w:rPr>
          <w:highlight w:val="none"/>
          <w:shd w:fill="FFFFFF" w:val="clear"/>
        </w:rPr>
      </w:pPr>
      <w:r>
        <w:rPr>
          <w:b/>
          <w:shd w:fill="FFFFFF" w:val="clear"/>
        </w:rPr>
        <w:t>Інформація про відповідність запропонованих учасником товарів медико-технічним та якісним вимогам    документації має бути підтверджена наступними документами:</w:t>
      </w:r>
    </w:p>
    <w:p>
      <w:pPr>
        <w:pStyle w:val="NormalWeb"/>
        <w:numPr>
          <w:ilvl w:val="1"/>
          <w:numId w:val="3"/>
        </w:numPr>
        <w:spacing w:beforeAutospacing="0" w:before="280" w:afterAutospacing="0" w:after="0"/>
        <w:jc w:val="both"/>
        <w:rPr>
          <w:highlight w:val="none"/>
          <w:shd w:fill="FFFFFF" w:val="clear"/>
        </w:rPr>
      </w:pPr>
      <w:r>
        <w:rPr>
          <w:shd w:fill="FFFFFF" w:val="clear"/>
        </w:rPr>
        <w:t>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оригінал або копія ліцензії);</w:t>
      </w:r>
    </w:p>
    <w:p>
      <w:pPr>
        <w:pStyle w:val="ListParagraph"/>
        <w:numPr>
          <w:ilvl w:val="1"/>
          <w:numId w:val="3"/>
        </w:numPr>
        <w:ind w:left="1830" w:right="-81" w:hanging="750"/>
        <w:jc w:val="both"/>
        <w:rPr>
          <w:highlight w:val="none"/>
          <w:shd w:fill="FFFFFF" w:val="clear"/>
        </w:rPr>
      </w:pPr>
      <w:r>
        <w:rPr>
          <w:rFonts w:ascii="Times New Roman" w:hAnsi="Times New Roman"/>
          <w:sz w:val="24"/>
          <w:szCs w:val="24"/>
          <w:shd w:fill="FFFFFF" w:val="clear"/>
          <w:lang w:val="uk-UA" w:eastAsia="uk-UA"/>
        </w:rPr>
        <w:t>оригінал гарантійного листа від учасника щодо строків придатності товарів на момент постачання замовнику (не менше ніж 12 місяців загального строку придатності визначеного виробником). Якщо кількість предмету закупівлі дорівнює та  перевищує 50 одиниць виміру,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pPr>
        <w:pStyle w:val="ListParagraph"/>
        <w:numPr>
          <w:ilvl w:val="1"/>
          <w:numId w:val="3"/>
        </w:numPr>
        <w:jc w:val="both"/>
        <w:rPr>
          <w:highlight w:val="none"/>
          <w:shd w:fill="FFFFFF" w:val="clear"/>
        </w:rPr>
      </w:pPr>
      <w:r>
        <w:rPr>
          <w:rFonts w:ascii="Times New Roman" w:hAnsi="Times New Roman"/>
          <w:sz w:val="24"/>
          <w:szCs w:val="24"/>
          <w:shd w:fill="FFFFFF" w:val="clear"/>
          <w:lang w:val="uk-UA" w:eastAsia="uk-UA"/>
        </w:rPr>
        <w:t>оригінал гарантійного листа Учасника щодо зменшення цін на товар у випадку відповідного зменшення ринкових цін;</w:t>
      </w:r>
    </w:p>
    <w:p>
      <w:pPr>
        <w:pStyle w:val="ListParagraph"/>
        <w:numPr>
          <w:ilvl w:val="1"/>
          <w:numId w:val="3"/>
        </w:numPr>
        <w:jc w:val="both"/>
        <w:rPr>
          <w:highlight w:val="none"/>
          <w:shd w:fill="FFFFFF" w:val="clear"/>
        </w:rPr>
      </w:pPr>
      <w:r>
        <w:rPr>
          <w:rFonts w:ascii="Times New Roman" w:hAnsi="Times New Roman"/>
          <w:shd w:fill="FFFFFF" w:val="clear"/>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p>
    <w:p>
      <w:pPr>
        <w:pStyle w:val="NormalWeb"/>
        <w:numPr>
          <w:ilvl w:val="0"/>
          <w:numId w:val="3"/>
        </w:numPr>
        <w:tabs>
          <w:tab w:val="clear" w:pos="720"/>
          <w:tab w:val="left" w:pos="426" w:leader="none"/>
        </w:tabs>
        <w:suppressAutoHyphens w:val="false"/>
        <w:spacing w:beforeAutospacing="0" w:before="280" w:afterAutospacing="0" w:after="0"/>
        <w:contextualSpacing/>
        <w:jc w:val="both"/>
        <w:rPr>
          <w:highlight w:val="none"/>
          <w:shd w:fill="FFFFFF" w:val="clear"/>
        </w:rPr>
      </w:pPr>
      <w:r>
        <w:rPr>
          <w:shd w:fill="FFFFFF" w:val="clear"/>
        </w:rPr>
        <w:t>У випадку подачі Учасником пропозиції щодо еквіваленту товару, він повинен підтвердити це документально у вигляді таблиці відповідності із зазначенням характеристик запропонованого товару.</w:t>
      </w:r>
    </w:p>
    <w:p>
      <w:pPr>
        <w:pStyle w:val="NormalWeb"/>
        <w:numPr>
          <w:ilvl w:val="0"/>
          <w:numId w:val="3"/>
        </w:numPr>
        <w:tabs>
          <w:tab w:val="clear" w:pos="720"/>
          <w:tab w:val="left" w:pos="426" w:leader="none"/>
        </w:tabs>
        <w:suppressAutoHyphens w:val="false"/>
        <w:spacing w:beforeAutospacing="0" w:before="0" w:afterAutospacing="0" w:after="0"/>
        <w:contextualSpacing/>
        <w:jc w:val="both"/>
        <w:rPr>
          <w:highlight w:val="none"/>
          <w:shd w:fill="FFFFFF" w:val="clear"/>
        </w:rPr>
      </w:pPr>
      <w:r>
        <w:rPr>
          <w:shd w:fill="FFFFFF" w:val="clear"/>
        </w:rPr>
        <w:t>Форма випуску, дозування, вміст упаковки повинні відповідати вимогам документації.</w:t>
      </w:r>
    </w:p>
    <w:p>
      <w:pPr>
        <w:pStyle w:val="Normal"/>
        <w:numPr>
          <w:ilvl w:val="0"/>
          <w:numId w:val="3"/>
        </w:numPr>
        <w:tabs>
          <w:tab w:val="clear" w:pos="720"/>
          <w:tab w:val="left" w:pos="426" w:leader="none"/>
        </w:tabs>
        <w:suppressAutoHyphens w:val="false"/>
        <w:spacing w:before="0" w:after="0"/>
        <w:contextualSpacing/>
        <w:jc w:val="both"/>
        <w:rPr>
          <w:highlight w:val="none"/>
          <w:shd w:fill="FFFFFF" w:val="clear"/>
        </w:rPr>
      </w:pPr>
      <w:r>
        <w:rPr>
          <w:color w:val="000000"/>
          <w:shd w:fill="FFFFFF" w:val="clear"/>
        </w:rPr>
        <w:t xml:space="preserve">Місце поставки: </w:t>
      </w:r>
      <w:r>
        <w:rPr>
          <w:bCs/>
          <w:spacing w:val="-3"/>
          <w:shd w:fill="FFFFFF" w:val="clear"/>
        </w:rPr>
        <w:t>65014, м. Одеса, пров. Обсерваторний, 8.</w:t>
      </w:r>
    </w:p>
    <w:p>
      <w:pPr>
        <w:pStyle w:val="Normal"/>
        <w:tabs>
          <w:tab w:val="clear" w:pos="720"/>
          <w:tab w:val="left" w:pos="284" w:leader="none"/>
        </w:tabs>
        <w:spacing w:before="120" w:after="0"/>
        <w:ind w:firstLine="567"/>
        <w:jc w:val="both"/>
        <w:rPr>
          <w:highlight w:val="none"/>
          <w:shd w:fill="FFFFFF" w:val="clear"/>
        </w:rPr>
      </w:pPr>
      <w:r>
        <w:rPr>
          <w:b/>
          <w:shd w:fill="FFFFFF" w:val="clear"/>
        </w:rPr>
        <w:t>Невиконання учасником вимог цього додатку документації призводить до відхилення його пропозиції.</w:t>
      </w:r>
    </w:p>
    <w:p>
      <w:pPr>
        <w:pStyle w:val="Normal"/>
        <w:widowControl w:val="false"/>
        <w:spacing w:before="0" w:after="0"/>
        <w:ind w:right="113" w:firstLine="567"/>
        <w:contextualSpacing/>
        <w:jc w:val="both"/>
        <w:rPr>
          <w:b/>
          <w:b/>
          <w:i/>
          <w:i/>
          <w:iCs/>
          <w:highlight w:val="none"/>
          <w:shd w:fill="FFFFFF" w:val="clear"/>
        </w:rPr>
      </w:pPr>
      <w:r>
        <w:rPr>
          <w:b/>
          <w:i/>
          <w:iCs/>
          <w:shd w:fill="FFFFFF" w:val="clear"/>
        </w:rPr>
      </w:r>
    </w:p>
    <w:p>
      <w:pPr>
        <w:pStyle w:val="Normal"/>
        <w:widowControl w:val="false"/>
        <w:spacing w:before="0" w:after="0"/>
        <w:ind w:right="113" w:firstLine="567"/>
        <w:contextualSpacing/>
        <w:jc w:val="both"/>
        <w:rPr>
          <w:highlight w:val="none"/>
          <w:shd w:fill="FFFFFF" w:val="clear"/>
        </w:rPr>
      </w:pPr>
      <w:r>
        <w:rPr>
          <w:b/>
          <w:i/>
          <w:iCs/>
          <w:shd w:fill="FFFFFF" w:val="clear"/>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pPr>
        <w:pStyle w:val="Normal"/>
        <w:shd w:val="clear" w:color="auto" w:fill="FFFFFF"/>
        <w:jc w:val="right"/>
        <w:rPr>
          <w:highlight w:val="none"/>
          <w:shd w:fill="FFFFFF" w:val="clear"/>
        </w:rPr>
      </w:pPr>
      <w:r>
        <w:rPr>
          <w:i/>
          <w:shd w:fill="FFFFFF" w:val="clear"/>
        </w:rPr>
        <w:tab/>
      </w:r>
      <w:r>
        <w:rPr>
          <w:b/>
          <w:shd w:fill="FFFFFF" w:val="clear"/>
        </w:rPr>
        <w:t>Додаток 3</w:t>
      </w:r>
    </w:p>
    <w:p>
      <w:pPr>
        <w:pStyle w:val="Normal"/>
        <w:shd w:val="clear" w:color="auto" w:fill="FFFFFF"/>
        <w:jc w:val="right"/>
        <w:rPr/>
      </w:pPr>
      <w:r>
        <w:rPr/>
        <w:t>до документації</w:t>
      </w:r>
    </w:p>
    <w:p>
      <w:pPr>
        <w:pStyle w:val="Normal"/>
        <w:widowControl w:val="false"/>
        <w:shd w:val="clear" w:color="auto" w:fill="FFFFFF"/>
        <w:ind w:firstLine="425"/>
        <w:jc w:val="center"/>
        <w:rPr>
          <w:b/>
          <w:b/>
        </w:rPr>
      </w:pPr>
      <w:r>
        <w:rPr>
          <w:b/>
        </w:rPr>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jc w:val="center"/>
        <w:rPr>
          <w:b/>
          <w:b/>
        </w:rPr>
      </w:pPr>
      <w:r>
        <w:rPr>
          <w:b/>
        </w:rPr>
      </w:r>
    </w:p>
    <w:p>
      <w:pPr>
        <w:pStyle w:val="Normal"/>
        <w:widowControl w:val="false"/>
        <w:shd w:val="clear" w:color="auto" w:fill="FFFFFF"/>
        <w:tabs>
          <w:tab w:val="clear" w:pos="720"/>
          <w:tab w:val="left" w:pos="426" w:leader="none"/>
        </w:tabs>
        <w:jc w:val="center"/>
        <w:rPr/>
      </w:pPr>
      <w:r>
        <w:rPr/>
      </w:r>
    </w:p>
    <w:p>
      <w:pPr>
        <w:pStyle w:val="Normal"/>
        <w:shd w:val="clear" w:color="auto" w:fill="FFFFFF"/>
        <w:tabs>
          <w:tab w:val="clear" w:pos="720"/>
          <w:tab w:val="left" w:pos="426" w:leader="none"/>
        </w:tabs>
        <w:jc w:val="center"/>
        <w:rPr>
          <w:b/>
          <w:b/>
        </w:rPr>
      </w:pPr>
      <w:r>
        <w:rPr>
          <w:b/>
        </w:rPr>
      </w:r>
    </w:p>
    <w:p>
      <w:pPr>
        <w:pStyle w:val="Normal"/>
        <w:shd w:val="clear" w:color="auto" w:fill="FFFFFF"/>
        <w:tabs>
          <w:tab w:val="clear" w:pos="720"/>
          <w:tab w:val="left" w:pos="426" w:leader="none"/>
        </w:tabs>
        <w:jc w:val="center"/>
        <w:rPr/>
      </w:pPr>
      <w:r>
        <w:rPr>
          <w:b/>
        </w:rPr>
        <w:t>Відомості про учасника</w:t>
      </w:r>
    </w:p>
    <w:p>
      <w:pPr>
        <w:pStyle w:val="Normal"/>
        <w:shd w:val="clear" w:color="auto" w:fill="FFFFFF"/>
        <w:tabs>
          <w:tab w:val="clear" w:pos="720"/>
          <w:tab w:val="left" w:pos="426" w:leader="none"/>
        </w:tabs>
        <w:rPr/>
      </w:pPr>
      <w:r>
        <w:rPr/>
      </w:r>
    </w:p>
    <w:p>
      <w:pPr>
        <w:pStyle w:val="Normal"/>
        <w:widowControl w:val="false"/>
        <w:shd w:val="clear" w:color="auto" w:fill="FFFFFF"/>
        <w:tabs>
          <w:tab w:val="clear" w:pos="720"/>
          <w:tab w:val="left" w:pos="426" w:leader="none"/>
        </w:tabs>
        <w:jc w:val="center"/>
        <w:rPr/>
      </w:pPr>
      <w:r>
        <w:rPr/>
      </w:r>
    </w:p>
    <w:p>
      <w:pPr>
        <w:pStyle w:val="Normal"/>
        <w:widowControl w:val="false"/>
        <w:numPr>
          <w:ilvl w:val="0"/>
          <w:numId w:val="1"/>
        </w:numPr>
        <w:shd w:val="clear" w:color="auto" w:fill="FFFFFF"/>
        <w:tabs>
          <w:tab w:val="clear" w:pos="720"/>
          <w:tab w:val="left" w:pos="426" w:leader="none"/>
        </w:tabs>
        <w:ind w:left="0" w:hanging="0"/>
        <w:rPr/>
      </w:pPr>
      <w:r>
        <w:rPr/>
        <w:t>Повна назва учасника: 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Місцезнаходження: 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Поштова адреса: ___________________________________________________________________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Банківські реквізити обслуговуючого банку: 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Код ЄДРПОУ: _____________________________________________________________________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Індивідуальний податковий номер: 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Статус платника податку: ____________________________________________________________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Контактний номер телефону (телефаксу):_______________________________________________</w:t>
      </w:r>
    </w:p>
    <w:p>
      <w:pPr>
        <w:pStyle w:val="Normal"/>
        <w:widowControl w:val="false"/>
        <w:numPr>
          <w:ilvl w:val="0"/>
          <w:numId w:val="1"/>
        </w:numPr>
        <w:shd w:val="clear" w:color="auto" w:fill="FFFFFF"/>
        <w:tabs>
          <w:tab w:val="clear" w:pos="720"/>
          <w:tab w:val="left" w:pos="426" w:leader="none"/>
        </w:tabs>
        <w:ind w:left="0" w:hanging="0"/>
        <w:rPr/>
      </w:pPr>
      <w:r>
        <w:rPr/>
        <w:t>Е-mail: ____________________________________________________________________________</w:t>
      </w:r>
    </w:p>
    <w:p>
      <w:pPr>
        <w:pStyle w:val="Normal"/>
        <w:widowControl w:val="false"/>
        <w:numPr>
          <w:ilvl w:val="0"/>
          <w:numId w:val="1"/>
        </w:numPr>
        <w:shd w:val="clear" w:color="auto" w:fill="FFFFFF"/>
        <w:tabs>
          <w:tab w:val="clear" w:pos="720"/>
          <w:tab w:val="left" w:pos="426" w:leader="none"/>
          <w:tab w:val="left" w:pos="462" w:leader="none"/>
          <w:tab w:val="left" w:pos="851" w:leader="none"/>
        </w:tabs>
        <w:ind w:left="0" w:hanging="0"/>
        <w:rPr/>
      </w:pPr>
      <w:r>
        <w:rPr/>
        <w:t>Відомості про підписанта договору (посада, ПІБ): ___________________________________</w:t>
      </w:r>
    </w:p>
    <w:p>
      <w:pPr>
        <w:pStyle w:val="Normal"/>
        <w:widowControl w:val="false"/>
        <w:numPr>
          <w:ilvl w:val="0"/>
          <w:numId w:val="1"/>
        </w:numPr>
        <w:pBdr>
          <w:bottom w:val="single" w:sz="12" w:space="1" w:color="000000"/>
        </w:pBdr>
        <w:shd w:val="clear" w:color="auto" w:fill="FFFFFF"/>
        <w:tabs>
          <w:tab w:val="clear" w:pos="720"/>
          <w:tab w:val="left" w:pos="426" w:leader="none"/>
          <w:tab w:val="left" w:pos="462" w:leader="none"/>
          <w:tab w:val="left" w:pos="851" w:leader="none"/>
        </w:tabs>
        <w:ind w:left="0" w:hanging="0"/>
        <w:rPr/>
      </w:pPr>
      <w:r>
        <w:rPr/>
        <w:t>Відомості про підписанта документів пропозиції (посада, ПІБ):</w:t>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jc w:val="both"/>
        <w:rPr>
          <w:b/>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rPr/>
      </w:pPr>
      <w:r>
        <w:rPr/>
      </w:r>
    </w:p>
    <w:p>
      <w:pPr>
        <w:pStyle w:val="Normal"/>
        <w:shd w:val="clear" w:color="auto" w:fill="FFFFFF"/>
        <w:tabs>
          <w:tab w:val="clear" w:pos="720"/>
          <w:tab w:val="left" w:pos="426" w:leader="none"/>
        </w:tabs>
        <w:rPr/>
      </w:pPr>
      <w:r>
        <w:rPr/>
      </w:r>
    </w:p>
    <w:tbl>
      <w:tblPr>
        <w:tblW w:w="10024" w:type="dxa"/>
        <w:jc w:val="center"/>
        <w:tblInd w:w="0" w:type="dxa"/>
        <w:tblLayout w:type="fixed"/>
        <w:tblCellMar>
          <w:top w:w="0" w:type="dxa"/>
          <w:left w:w="108" w:type="dxa"/>
          <w:bottom w:w="0" w:type="dxa"/>
          <w:right w:w="108" w:type="dxa"/>
        </w:tblCellMar>
        <w:tblLook w:val="0000"/>
      </w:tblPr>
      <w:tblGrid>
        <w:gridCol w:w="3342"/>
        <w:gridCol w:w="3341"/>
        <w:gridCol w:w="3341"/>
      </w:tblGrid>
      <w:tr>
        <w:trPr/>
        <w:tc>
          <w:tcPr>
            <w:tcW w:w="3342"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c>
          <w:tcPr>
            <w:tcW w:w="3341"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c>
          <w:tcPr>
            <w:tcW w:w="3341" w:type="dxa"/>
            <w:tcBorders/>
          </w:tcPr>
          <w:p>
            <w:pPr>
              <w:pStyle w:val="Normal"/>
              <w:widowControl w:val="false"/>
              <w:shd w:val="clear" w:color="auto" w:fill="FFFFFF"/>
              <w:tabs>
                <w:tab w:val="clear" w:pos="720"/>
                <w:tab w:val="left" w:pos="426" w:leader="none"/>
              </w:tabs>
              <w:jc w:val="center"/>
              <w:rPr/>
            </w:pPr>
            <w:r>
              <w:rPr>
                <w:sz w:val="20"/>
                <w:szCs w:val="20"/>
              </w:rPr>
              <w:t>________________________</w:t>
            </w:r>
          </w:p>
        </w:tc>
      </w:tr>
      <w:tr>
        <w:trPr/>
        <w:tc>
          <w:tcPr>
            <w:tcW w:w="3342" w:type="dxa"/>
            <w:tcBorders/>
          </w:tcPr>
          <w:p>
            <w:pPr>
              <w:pStyle w:val="Normal"/>
              <w:widowControl w:val="false"/>
              <w:shd w:val="clear" w:color="auto" w:fill="FFFFFF"/>
              <w:tabs>
                <w:tab w:val="clear" w:pos="720"/>
                <w:tab w:val="left" w:pos="426" w:leader="none"/>
              </w:tabs>
              <w:jc w:val="center"/>
              <w:rPr/>
            </w:pPr>
            <w:r>
              <w:rPr>
                <w:i/>
                <w:sz w:val="16"/>
                <w:szCs w:val="16"/>
              </w:rPr>
              <w:t>посада уповноваженої особи Учасника</w:t>
            </w:r>
          </w:p>
        </w:tc>
        <w:tc>
          <w:tcPr>
            <w:tcW w:w="3341" w:type="dxa"/>
            <w:tcBorders/>
          </w:tcPr>
          <w:p>
            <w:pPr>
              <w:pStyle w:val="Normal"/>
              <w:widowControl w:val="false"/>
              <w:shd w:val="clear" w:color="auto" w:fill="FFFFFF"/>
              <w:tabs>
                <w:tab w:val="clear" w:pos="720"/>
                <w:tab w:val="left" w:pos="426" w:leader="none"/>
              </w:tabs>
              <w:jc w:val="center"/>
              <w:rPr/>
            </w:pPr>
            <w:r>
              <w:rPr>
                <w:i/>
                <w:sz w:val="16"/>
                <w:szCs w:val="16"/>
              </w:rPr>
              <w:t>підпис та печатка (за наявності)</w:t>
            </w:r>
          </w:p>
        </w:tc>
        <w:tc>
          <w:tcPr>
            <w:tcW w:w="3341" w:type="dxa"/>
            <w:tcBorders/>
          </w:tcPr>
          <w:p>
            <w:pPr>
              <w:pStyle w:val="Normal"/>
              <w:widowControl w:val="false"/>
              <w:shd w:val="clear" w:color="auto" w:fill="FFFFFF"/>
              <w:tabs>
                <w:tab w:val="clear" w:pos="720"/>
                <w:tab w:val="left" w:pos="426" w:leader="none"/>
              </w:tabs>
              <w:jc w:val="center"/>
              <w:rPr/>
            </w:pPr>
            <w:r>
              <w:rPr>
                <w:i/>
                <w:sz w:val="16"/>
                <w:szCs w:val="16"/>
              </w:rPr>
              <w:t>прізвище, ініціали</w:t>
            </w:r>
          </w:p>
        </w:tc>
      </w:tr>
    </w:tbl>
    <w:p>
      <w:pPr>
        <w:pStyle w:val="Normal"/>
        <w:shd w:val="clear" w:color="auto" w:fill="FFFFFF"/>
        <w:rPr/>
      </w:pPr>
      <w:r>
        <w:rPr/>
      </w:r>
      <w:r>
        <w:br w:type="page"/>
      </w:r>
    </w:p>
    <w:p>
      <w:pPr>
        <w:pStyle w:val="Normal"/>
        <w:shd w:val="clear" w:color="auto" w:fill="FFFFFF"/>
        <w:rPr/>
      </w:pPr>
      <w:r>
        <w:rPr/>
      </w:r>
    </w:p>
    <w:p>
      <w:pPr>
        <w:pStyle w:val="Normal"/>
        <w:shd w:val="clear" w:color="auto" w:fill="FFFFFF"/>
        <w:jc w:val="right"/>
        <w:rPr/>
      </w:pPr>
      <w:r>
        <w:rPr>
          <w:b/>
        </w:rPr>
        <w:t>Додаток 4</w:t>
      </w:r>
    </w:p>
    <w:p>
      <w:pPr>
        <w:pStyle w:val="Normal"/>
        <w:shd w:val="clear" w:color="auto" w:fill="FFFFFF"/>
        <w:jc w:val="right"/>
        <w:rPr/>
      </w:pPr>
      <w:r>
        <w:rPr/>
        <w:t xml:space="preserve"> </w:t>
      </w:r>
      <w:r>
        <w:rPr/>
        <w:t>до документації</w:t>
      </w:r>
    </w:p>
    <w:p>
      <w:pPr>
        <w:pStyle w:val="Normal"/>
        <w:shd w:val="clear" w:color="auto" w:fill="FFFFFF"/>
        <w:tabs>
          <w:tab w:val="clear" w:pos="720"/>
          <w:tab w:val="left" w:pos="4695" w:leader="none"/>
        </w:tabs>
        <w:jc w:val="right"/>
        <w:rPr>
          <w:b/>
          <w:b/>
        </w:rPr>
      </w:pPr>
      <w:r>
        <w:rPr>
          <w:b/>
        </w:rPr>
        <w:t>ПРОЕКТ ДОГОВОРУ</w:t>
      </w:r>
    </w:p>
    <w:p>
      <w:pPr>
        <w:pStyle w:val="Normal"/>
        <w:shd w:val="clear" w:color="auto" w:fill="FFFFFF"/>
        <w:tabs>
          <w:tab w:val="clear" w:pos="720"/>
          <w:tab w:val="left" w:pos="4695" w:leader="none"/>
        </w:tabs>
        <w:jc w:val="right"/>
        <w:rPr>
          <w:b/>
          <w:b/>
          <w:color w:val="000000"/>
        </w:rPr>
      </w:pPr>
      <w:r>
        <w:rPr>
          <w:b/>
        </w:rPr>
        <w:t>викладено у окремому файлі</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851" w:right="680" w:gutter="0" w:header="0" w:top="851" w:footer="0" w:bottom="426"/>
          <w:pgNumType w:start="1" w:fmt="decimal"/>
          <w:formProt w:val="false"/>
          <w:textDirection w:val="lrTb"/>
          <w:docGrid w:type="default" w:linePitch="100" w:charSpace="0"/>
        </w:sectPr>
        <w:pStyle w:val="Normal"/>
        <w:shd w:val="clear" w:color="auto" w:fill="FFFFFF"/>
        <w:tabs>
          <w:tab w:val="clear" w:pos="720"/>
          <w:tab w:val="left" w:pos="4695" w:leader="none"/>
        </w:tabs>
        <w:rPr/>
      </w:pPr>
      <w:r>
        <w:rPr/>
        <w:tab/>
      </w:r>
    </w:p>
    <w:p>
      <w:pPr>
        <w:pStyle w:val="Normal"/>
        <w:shd w:val="clear" w:color="auto" w:fill="FFFFFF"/>
        <w:ind w:left="7371" w:hanging="0"/>
        <w:jc w:val="right"/>
        <w:rPr/>
      </w:pPr>
      <w:r>
        <w:rPr>
          <w:b/>
        </w:rPr>
        <w:t>Додаток 5</w:t>
      </w:r>
    </w:p>
    <w:p>
      <w:pPr>
        <w:pStyle w:val="Normal"/>
        <w:shd w:val="clear" w:color="auto" w:fill="FFFFFF"/>
        <w:jc w:val="right"/>
        <w:rPr/>
      </w:pPr>
      <w:r>
        <w:rPr/>
        <w:t xml:space="preserve"> </w:t>
      </w:r>
      <w:r>
        <w:rPr/>
        <w:t>до документації</w:t>
      </w:r>
    </w:p>
    <w:p>
      <w:pPr>
        <w:pStyle w:val="Normal"/>
        <w:shd w:val="clear" w:color="auto" w:fill="FFFFFF"/>
        <w:jc w:val="center"/>
        <w:rPr>
          <w:b/>
          <w:b/>
          <w:i/>
          <w:i/>
        </w:rPr>
      </w:pPr>
      <w:r>
        <w:rPr>
          <w:b/>
          <w:i/>
        </w:rPr>
        <w:t>Перелік документів для переможця, що надаються для укладання договору</w:t>
      </w:r>
    </w:p>
    <w:p>
      <w:pPr>
        <w:pStyle w:val="Normal"/>
        <w:shd w:val="clear" w:color="auto" w:fill="FFFFFF"/>
        <w:rPr/>
      </w:pPr>
      <w:r>
        <w:rPr/>
      </w:r>
    </w:p>
    <w:p>
      <w:pPr>
        <w:pStyle w:val="Normal"/>
        <w:tabs>
          <w:tab w:val="clear" w:pos="720"/>
          <w:tab w:val="left" w:pos="426" w:leader="none"/>
        </w:tabs>
        <w:spacing w:lineRule="auto" w:line="276"/>
        <w:jc w:val="both"/>
        <w:rPr>
          <w:b/>
          <w:b/>
          <w:color w:val="000000"/>
          <w:sz w:val="22"/>
          <w:szCs w:val="22"/>
        </w:rPr>
      </w:pPr>
      <w:r>
        <w:rPr>
          <w:b/>
          <w:color w:val="000000"/>
          <w:sz w:val="22"/>
          <w:szCs w:val="22"/>
        </w:rPr>
        <w:t xml:space="preserve">Переможець закупівлі наступного дня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pPr>
        <w:pStyle w:val="Normal"/>
        <w:shd w:val="clear" w:color="auto" w:fill="FFFFFF"/>
        <w:jc w:val="both"/>
        <w:rPr/>
      </w:pPr>
      <w:r>
        <w:rPr/>
      </w:r>
      <w:bookmarkStart w:id="27" w:name="_4d34og8"/>
      <w:bookmarkStart w:id="28" w:name="_4d34og8"/>
      <w:bookmarkEnd w:id="28"/>
    </w:p>
    <w:p>
      <w:pPr>
        <w:pStyle w:val="Normal"/>
        <w:shd w:val="clear" w:color="auto" w:fill="FFFFFF"/>
        <w:jc w:val="both"/>
        <w:rPr>
          <w:b/>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pPr>
        <w:pStyle w:val="Normal"/>
        <w:shd w:val="clear" w:color="auto" w:fill="FFFFFF"/>
        <w:rPr>
          <w:i/>
          <w:i/>
          <w:sz w:val="20"/>
          <w:szCs w:val="20"/>
        </w:rPr>
      </w:pPr>
      <w:r>
        <w:rPr>
          <w:i/>
          <w:sz w:val="20"/>
          <w:szCs w:val="20"/>
        </w:rPr>
      </w:r>
    </w:p>
    <w:p>
      <w:pPr>
        <w:pStyle w:val="Normal"/>
        <w:shd w:val="clear" w:color="auto" w:fill="FFFFFF"/>
        <w:jc w:val="center"/>
        <w:rPr/>
      </w:pPr>
      <w:r>
        <w:rPr>
          <w:b/>
        </w:rPr>
        <w:t>Форма «Цінової пропозиції»</w:t>
      </w:r>
    </w:p>
    <w:p>
      <w:pPr>
        <w:pStyle w:val="Normal"/>
        <w:shd w:val="clear" w:color="auto" w:fill="FFFFFF"/>
        <w:jc w:val="both"/>
        <w:rPr/>
      </w:pPr>
      <w:r>
        <w:rPr/>
      </w:r>
    </w:p>
    <w:p>
      <w:pPr>
        <w:pStyle w:val="Normal"/>
        <w:shd w:val="clear" w:color="auto" w:fill="FFFFFF"/>
        <w:ind w:firstLine="567"/>
        <w:jc w:val="both"/>
        <w:rPr/>
      </w:pPr>
      <w:r>
        <w:rPr/>
        <w:t xml:space="preserve">Ми, </w:t>
      </w:r>
      <w:r>
        <w:rPr>
          <w:i/>
          <w:color w:val="00B050"/>
          <w:u w:val="single"/>
        </w:rPr>
        <w:t>(назва переможця)</w:t>
      </w:r>
      <w:r>
        <w:rPr/>
        <w:t>, надаємо свою пропозицію для підписання договору за результатами аукціону на закупівлю</w:t>
      </w:r>
      <w:r>
        <w:rPr>
          <w:color w:val="00B050"/>
        </w:rPr>
        <w:t>______________________________________________</w:t>
      </w:r>
      <w:r>
        <w:rPr/>
        <w:t xml:space="preserve"> згідно з вимогами Замовника.</w:t>
      </w:r>
    </w:p>
    <w:p>
      <w:pPr>
        <w:pStyle w:val="Normal"/>
        <w:shd w:val="clear" w:color="auto" w:fill="FFFFFF"/>
        <w:ind w:firstLine="567"/>
        <w:jc w:val="both"/>
        <w:rPr/>
      </w:pPr>
      <w:r>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4839" w:type="dxa"/>
        <w:jc w:val="left"/>
        <w:tblInd w:w="720" w:type="dxa"/>
        <w:tblLayout w:type="fixed"/>
        <w:tblCellMar>
          <w:top w:w="0" w:type="dxa"/>
          <w:left w:w="108" w:type="dxa"/>
          <w:bottom w:w="0" w:type="dxa"/>
          <w:right w:w="108" w:type="dxa"/>
        </w:tblCellMar>
        <w:tblLook w:val="0000"/>
      </w:tblPr>
      <w:tblGrid>
        <w:gridCol w:w="823"/>
        <w:gridCol w:w="4713"/>
        <w:gridCol w:w="2791"/>
        <w:gridCol w:w="2233"/>
        <w:gridCol w:w="2097"/>
        <w:gridCol w:w="9"/>
        <w:gridCol w:w="1938"/>
        <w:gridCol w:w="10"/>
        <w:gridCol w:w="224"/>
      </w:tblGrid>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 xml:space="preserve">№ </w:t>
            </w:r>
            <w:r>
              <w:rPr>
                <w:b/>
                <w:color w:val="000000"/>
                <w:sz w:val="22"/>
                <w:szCs w:val="22"/>
              </w:rPr>
              <w:t>п/п</w:t>
            </w:r>
          </w:p>
        </w:tc>
        <w:tc>
          <w:tcPr>
            <w:tcW w:w="4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Найменування</w:t>
            </w:r>
          </w:p>
          <w:p>
            <w:pPr>
              <w:pStyle w:val="Normal"/>
              <w:widowControl w:val="false"/>
              <w:tabs>
                <w:tab w:val="clear" w:pos="720"/>
                <w:tab w:val="left" w:pos="993" w:leader="none"/>
              </w:tabs>
              <w:spacing w:lineRule="auto" w:line="276"/>
              <w:jc w:val="center"/>
              <w:rPr>
                <w:b/>
                <w:b/>
                <w:color w:val="000000"/>
              </w:rPr>
            </w:pPr>
            <w:r>
              <w:rPr>
                <w:b/>
                <w:color w:val="000000"/>
                <w:sz w:val="22"/>
                <w:szCs w:val="22"/>
              </w:rPr>
              <w:t>Товару</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93" w:leader="none"/>
              </w:tabs>
              <w:spacing w:lineRule="auto" w:line="276"/>
              <w:jc w:val="center"/>
              <w:rPr>
                <w:b/>
                <w:b/>
                <w:color w:val="000000"/>
              </w:rPr>
            </w:pPr>
            <w:r>
              <w:rPr>
                <w:b/>
                <w:color w:val="000000"/>
                <w:sz w:val="22"/>
                <w:szCs w:val="22"/>
              </w:rPr>
              <w:t>Одиниця виміру</w:t>
            </w:r>
          </w:p>
        </w:tc>
        <w:tc>
          <w:tcPr>
            <w:tcW w:w="22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93" w:leader="none"/>
              </w:tabs>
              <w:spacing w:lineRule="auto" w:line="276"/>
              <w:jc w:val="center"/>
              <w:rPr>
                <w:b/>
                <w:b/>
                <w:color w:val="000000"/>
              </w:rPr>
            </w:pPr>
            <w:r>
              <w:rPr>
                <w:b/>
                <w:color w:val="000000"/>
                <w:sz w:val="22"/>
                <w:szCs w:val="22"/>
              </w:rPr>
              <w:t>Кількість одиниць</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Ціна за одиницю без ПДВ, грн.</w:t>
            </w:r>
          </w:p>
        </w:tc>
        <w:tc>
          <w:tcPr>
            <w:tcW w:w="1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jc w:val="center"/>
              <w:rPr>
                <w:b/>
                <w:b/>
                <w:color w:val="000000"/>
              </w:rPr>
            </w:pPr>
            <w:r>
              <w:rPr>
                <w:b/>
                <w:color w:val="000000"/>
                <w:sz w:val="22"/>
                <w:szCs w:val="22"/>
              </w:rPr>
              <w:t>Загальна вартість без ПДВ, грн.</w:t>
            </w:r>
          </w:p>
        </w:tc>
        <w:tc>
          <w:tcPr>
            <w:tcW w:w="224" w:type="dxa"/>
            <w:tcBorders/>
          </w:tcPr>
          <w:p>
            <w:pPr>
              <w:pStyle w:val="Normal"/>
              <w:widowControl w:val="false"/>
              <w:rPr/>
            </w:pPr>
            <w:r>
              <w:rPr/>
            </w:r>
          </w:p>
        </w:tc>
      </w:tr>
      <w:tr>
        <w:trPr/>
        <w:tc>
          <w:tcPr>
            <w:tcW w:w="8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47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2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1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24" w:type="dxa"/>
            <w:tcBorders/>
          </w:tcPr>
          <w:p>
            <w:pPr>
              <w:pStyle w:val="Normal"/>
              <w:widowControl w:val="false"/>
              <w:rPr/>
            </w:pPr>
            <w:r>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sz w:val="22"/>
                <w:szCs w:val="22"/>
              </w:rPr>
              <w:t>Загальна вартість, грн. без ПДВ:</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gridSpan w:val="2"/>
            <w:tcBorders/>
          </w:tcPr>
          <w:p>
            <w:pPr>
              <w:pStyle w:val="Normal"/>
              <w:widowControl w:val="false"/>
              <w:rPr/>
            </w:pPr>
            <w:r>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highlight w:val="none"/>
                <w:shd w:fill="FFFFFF" w:val="clear"/>
              </w:rPr>
            </w:pPr>
            <w:r>
              <w:rPr>
                <w:b/>
                <w:color w:val="000000"/>
                <w:sz w:val="22"/>
                <w:szCs w:val="22"/>
                <w:shd w:fill="FFFFFF" w:val="clear"/>
              </w:rPr>
              <w:t>ПДВ 7 % , грн.:</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gridSpan w:val="2"/>
            <w:tcBorders/>
          </w:tcPr>
          <w:p>
            <w:pPr>
              <w:pStyle w:val="Normal"/>
              <w:widowControl w:val="false"/>
              <w:rPr/>
            </w:pPr>
            <w:r>
              <w:rPr/>
            </w:r>
          </w:p>
        </w:tc>
      </w:tr>
      <w:tr>
        <w:trPr/>
        <w:tc>
          <w:tcPr>
            <w:tcW w:w="1266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sz w:val="22"/>
                <w:szCs w:val="22"/>
              </w:rPr>
              <w:t>Загальна вартість, грн. з ПДВ:</w:t>
            </w:r>
          </w:p>
        </w:tc>
        <w:tc>
          <w:tcPr>
            <w:tcW w:w="19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s>
              <w:spacing w:lineRule="auto" w:line="276"/>
              <w:rPr>
                <w:b/>
                <w:b/>
                <w:color w:val="000000"/>
              </w:rPr>
            </w:pPr>
            <w:r>
              <w:rPr>
                <w:b/>
                <w:color w:val="000000"/>
              </w:rPr>
            </w:r>
          </w:p>
        </w:tc>
        <w:tc>
          <w:tcPr>
            <w:tcW w:w="234" w:type="dxa"/>
            <w:gridSpan w:val="2"/>
            <w:tcBorders/>
          </w:tcPr>
          <w:p>
            <w:pPr>
              <w:pStyle w:val="Normal"/>
              <w:widowControl w:val="false"/>
              <w:rPr/>
            </w:pPr>
            <w:r>
              <w:rPr/>
            </w:r>
          </w:p>
        </w:tc>
      </w:tr>
    </w:tbl>
    <w:p>
      <w:pPr>
        <w:pStyle w:val="Normal"/>
        <w:shd w:val="clear" w:color="auto" w:fill="FFFFFF"/>
        <w:jc w:val="both"/>
        <w:rPr/>
      </w:pPr>
      <w:r>
        <w:rPr/>
      </w:r>
    </w:p>
    <w:p>
      <w:pPr>
        <w:pStyle w:val="Normal"/>
        <w:shd w:val="clear" w:color="auto" w:fill="FFFFFF"/>
        <w:ind w:firstLine="454"/>
        <w:jc w:val="both"/>
        <w:rPr/>
      </w:pPr>
      <w:r>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pPr>
        <w:pStyle w:val="Normal"/>
        <w:shd w:val="clear" w:color="auto" w:fill="FFFFFF"/>
        <w:ind w:firstLine="454"/>
        <w:jc w:val="both"/>
        <w:rPr/>
      </w:pPr>
      <w:r>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pPr>
        <w:pStyle w:val="Normal"/>
        <w:jc w:val="both"/>
        <w:rPr/>
      </w:pPr>
      <w:r>
        <w:rPr/>
      </w:r>
    </w:p>
    <w:p>
      <w:pPr>
        <w:pStyle w:val="Normal"/>
        <w:shd w:val="clear" w:color="auto" w:fill="FFFFFF"/>
        <w:rPr>
          <w:i/>
          <w:i/>
          <w:sz w:val="20"/>
          <w:szCs w:val="20"/>
        </w:rPr>
      </w:pPr>
      <w:r>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jc w:val="both"/>
        <w:rPr>
          <w:i/>
          <w:i/>
          <w:color w:val="000000"/>
          <w:sz w:val="20"/>
          <w:szCs w:val="20"/>
          <w:highlight w:val="white"/>
        </w:rPr>
      </w:pPr>
      <w:r>
        <w:rPr>
          <w:i/>
          <w:color w:val="000000"/>
          <w:sz w:val="20"/>
          <w:szCs w:val="20"/>
          <w:highlight w:val="white"/>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pPr>
        <w:pStyle w:val="Normal"/>
        <w:shd w:val="clear" w:color="auto" w:fill="FFFFFF"/>
        <w:ind w:firstLine="454"/>
        <w:jc w:val="both"/>
        <w:rPr/>
      </w:pPr>
      <w:r>
        <w:rPr/>
      </w:r>
    </w:p>
    <w:tbl>
      <w:tblPr>
        <w:tblW w:w="10024" w:type="dxa"/>
        <w:jc w:val="left"/>
        <w:tblInd w:w="-115" w:type="dxa"/>
        <w:tblLayout w:type="fixed"/>
        <w:tblCellMar>
          <w:top w:w="0" w:type="dxa"/>
          <w:left w:w="108" w:type="dxa"/>
          <w:bottom w:w="0" w:type="dxa"/>
          <w:right w:w="108" w:type="dxa"/>
        </w:tblCellMar>
        <w:tblLook w:val="0000"/>
      </w:tblPr>
      <w:tblGrid>
        <w:gridCol w:w="3342"/>
        <w:gridCol w:w="3341"/>
        <w:gridCol w:w="3341"/>
      </w:tblGrid>
      <w:tr>
        <w:trPr/>
        <w:tc>
          <w:tcPr>
            <w:tcW w:w="3342" w:type="dxa"/>
            <w:tcBorders/>
          </w:tcPr>
          <w:p>
            <w:pPr>
              <w:pStyle w:val="Normal"/>
              <w:widowControl w:val="false"/>
              <w:shd w:val="clear" w:color="auto" w:fill="FFFFFF"/>
              <w:jc w:val="center"/>
              <w:rPr/>
            </w:pPr>
            <w:r>
              <w:rPr>
                <w:sz w:val="20"/>
                <w:szCs w:val="20"/>
              </w:rPr>
              <w:t>________________________</w:t>
            </w:r>
          </w:p>
        </w:tc>
        <w:tc>
          <w:tcPr>
            <w:tcW w:w="3341" w:type="dxa"/>
            <w:tcBorders/>
          </w:tcPr>
          <w:p>
            <w:pPr>
              <w:pStyle w:val="Normal"/>
              <w:widowControl w:val="false"/>
              <w:shd w:val="clear" w:color="auto" w:fill="FFFFFF"/>
              <w:jc w:val="center"/>
              <w:rPr/>
            </w:pPr>
            <w:r>
              <w:rPr>
                <w:sz w:val="20"/>
                <w:szCs w:val="20"/>
              </w:rPr>
              <w:t>________________________</w:t>
            </w:r>
          </w:p>
        </w:tc>
        <w:tc>
          <w:tcPr>
            <w:tcW w:w="3341" w:type="dxa"/>
            <w:tcBorders/>
          </w:tcPr>
          <w:p>
            <w:pPr>
              <w:pStyle w:val="Normal"/>
              <w:widowControl w:val="false"/>
              <w:shd w:val="clear" w:color="auto" w:fill="FFFFFF"/>
              <w:jc w:val="center"/>
              <w:rPr/>
            </w:pPr>
            <w:r>
              <w:rPr>
                <w:sz w:val="20"/>
                <w:szCs w:val="20"/>
              </w:rPr>
              <w:t>________________________</w:t>
            </w:r>
          </w:p>
        </w:tc>
      </w:tr>
      <w:tr>
        <w:trPr/>
        <w:tc>
          <w:tcPr>
            <w:tcW w:w="3342" w:type="dxa"/>
            <w:tcBorders/>
          </w:tcPr>
          <w:p>
            <w:pPr>
              <w:pStyle w:val="Normal"/>
              <w:widowControl w:val="false"/>
              <w:shd w:val="clear" w:color="auto" w:fill="FFFFFF"/>
              <w:jc w:val="center"/>
              <w:rPr/>
            </w:pPr>
            <w:r>
              <w:rPr>
                <w:i/>
                <w:sz w:val="16"/>
                <w:szCs w:val="16"/>
              </w:rPr>
              <w:t>посада уповноваженої особи Учасника</w:t>
            </w:r>
          </w:p>
        </w:tc>
        <w:tc>
          <w:tcPr>
            <w:tcW w:w="3341" w:type="dxa"/>
            <w:tcBorders/>
          </w:tcPr>
          <w:p>
            <w:pPr>
              <w:pStyle w:val="Normal"/>
              <w:widowControl w:val="false"/>
              <w:shd w:val="clear" w:color="auto" w:fill="FFFFFF"/>
              <w:jc w:val="center"/>
              <w:rPr/>
            </w:pPr>
            <w:r>
              <w:rPr>
                <w:i/>
                <w:sz w:val="16"/>
                <w:szCs w:val="16"/>
              </w:rPr>
              <w:t>підпис та печатка (за наявності)</w:t>
            </w:r>
          </w:p>
        </w:tc>
        <w:tc>
          <w:tcPr>
            <w:tcW w:w="3341" w:type="dxa"/>
            <w:tcBorders/>
          </w:tcPr>
          <w:p>
            <w:pPr>
              <w:pStyle w:val="Normal"/>
              <w:widowControl w:val="false"/>
              <w:shd w:val="clear" w:color="auto" w:fill="FFFFFF"/>
              <w:jc w:val="center"/>
              <w:rPr/>
            </w:pPr>
            <w:r>
              <w:rPr>
                <w:i/>
                <w:sz w:val="16"/>
                <w:szCs w:val="16"/>
              </w:rPr>
              <w:t>прізвище, ініціали</w:t>
            </w:r>
          </w:p>
        </w:tc>
      </w:tr>
    </w:tbl>
    <w:p>
      <w:pPr>
        <w:pStyle w:val="Normal"/>
        <w:shd w:val="clear" w:color="auto" w:fill="FFFFFF"/>
        <w:jc w:val="both"/>
        <w:rPr/>
      </w:pPr>
      <w:r>
        <w:rPr/>
      </w:r>
    </w:p>
    <w:p>
      <w:pPr>
        <w:pStyle w:val="Normal"/>
        <w:shd w:val="clear" w:color="auto" w:fill="FFFFFF"/>
        <w:jc w:val="both"/>
        <w:rPr/>
      </w:pPr>
      <w:r>
        <w:rPr/>
      </w:r>
    </w:p>
    <w:p>
      <w:pPr>
        <w:pStyle w:val="Normal"/>
        <w:shd w:val="clear" w:color="auto" w:fill="FFFFFF"/>
        <w:tabs>
          <w:tab w:val="clear" w:pos="720"/>
          <w:tab w:val="left" w:pos="1215" w:leader="none"/>
        </w:tabs>
        <w:jc w:val="both"/>
        <w:rPr>
          <w:b/>
          <w:b/>
          <w:color w:val="000000"/>
        </w:rPr>
      </w:pPr>
      <w:r>
        <w:rPr>
          <w:b/>
          <w:color w:val="000000"/>
        </w:rPr>
        <w:t>2. Документи* /копії документів для укладення договору про закупівлю, у т.ч. про право його підпису:</w:t>
      </w:r>
    </w:p>
    <w:p>
      <w:pPr>
        <w:pStyle w:val="Normal"/>
        <w:ind w:firstLine="284"/>
        <w:jc w:val="both"/>
        <w:rPr/>
      </w:pPr>
      <w:r>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Pr>
          <w:i/>
        </w:rPr>
        <w:t>дата видачі Витягу не повинна перевищувати 30 днів до дати подання документу</w:t>
      </w:r>
      <w:r>
        <w:rPr/>
        <w:t>);</w:t>
      </w:r>
    </w:p>
    <w:p>
      <w:pPr>
        <w:pStyle w:val="Normal"/>
        <w:ind w:firstLine="284"/>
        <w:jc w:val="both"/>
        <w:rPr/>
      </w:pPr>
      <w:r>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pPr>
        <w:pStyle w:val="Normal"/>
        <w:ind w:firstLine="284"/>
        <w:jc w:val="both"/>
        <w:rPr/>
      </w:pPr>
      <w:r>
        <w:rP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rPr/>
        <w:t xml:space="preserve"> на вчинення правочинів;</w:t>
      </w:r>
    </w:p>
    <w:p>
      <w:pPr>
        <w:pStyle w:val="Normal"/>
        <w:ind w:firstLine="284"/>
        <w:jc w:val="both"/>
        <w:rPr/>
      </w:pPr>
      <w:r>
        <w:rPr/>
        <w:t xml:space="preserve">- баланс та звіт про фінансові результатами за останній рік та останній звітний період </w:t>
      </w:r>
    </w:p>
    <w:p>
      <w:pPr>
        <w:pStyle w:val="Normal"/>
        <w:ind w:firstLine="284"/>
        <w:jc w:val="both"/>
        <w:rPr>
          <w:b/>
          <w:b/>
          <w:u w:val="single"/>
        </w:rPr>
      </w:pPr>
      <w:r>
        <w:rPr>
          <w:b/>
          <w:u w:val="single"/>
        </w:rPr>
        <w:t>або</w:t>
      </w:r>
    </w:p>
    <w:p>
      <w:pPr>
        <w:pStyle w:val="Normal"/>
        <w:ind w:firstLine="284"/>
        <w:jc w:val="both"/>
        <w:rPr/>
      </w:pPr>
      <w:r>
        <w:rPr/>
        <w:t>-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pPr>
        <w:pStyle w:val="Normal"/>
        <w:ind w:firstLine="284"/>
        <w:jc w:val="both"/>
        <w:rPr/>
      </w:pPr>
      <w:r>
        <w:rPr/>
        <w:t>- Витяг з реєстру платників податку на додану вартість або платників єдиного податку;</w:t>
      </w:r>
    </w:p>
    <w:p>
      <w:pPr>
        <w:pStyle w:val="Normal"/>
        <w:ind w:firstLine="284"/>
        <w:jc w:val="both"/>
        <w:rPr>
          <w:i/>
          <w:i/>
        </w:rPr>
      </w:pPr>
      <w:r>
        <w:rPr/>
        <w:t xml:space="preserve">- паспорт та ідентифікаційний номер підписанта договору </w:t>
      </w:r>
      <w:r>
        <w:rPr>
          <w:i/>
        </w:rPr>
        <w:t>(для фізичних осіб-підприємців);</w:t>
      </w:r>
    </w:p>
    <w:p>
      <w:pPr>
        <w:pStyle w:val="Normal"/>
        <w:shd w:val="clear" w:color="auto" w:fill="FFFFFF"/>
        <w:spacing w:before="0" w:after="150"/>
        <w:ind w:firstLine="284"/>
        <w:jc w:val="both"/>
        <w:rPr>
          <w:i/>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29" w:name="2s8eyo1"/>
      <w:bookmarkEnd w:id="29"/>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pPr>
        <w:pStyle w:val="Normal"/>
        <w:shd w:val="clear" w:color="auto" w:fill="FFFFFF"/>
        <w:spacing w:before="0" w:after="150"/>
        <w:ind w:firstLine="284"/>
        <w:jc w:val="both"/>
        <w:rPr>
          <w:b/>
          <w:b/>
          <w:i/>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sectPr>
      <w:headerReference w:type="default" r:id="rId6"/>
      <w:footerReference w:type="default" r:id="rId7"/>
      <w:type w:val="nextPage"/>
      <w:pgSz w:orient="landscape" w:w="16838" w:h="11906"/>
      <w:pgMar w:left="720" w:right="720" w:gutter="0" w:header="720" w:top="851"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 w:name="OpenSymbol">
    <w:altName w:val="Arial Unicode M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color w:val="000000"/>
      </w:rPr>
    </w:pPr>
    <w:r>
      <w:rPr>
        <w:color w:val="000000"/>
      </w:rPr>
    </w:r>
  </w:p>
  <w:p>
    <w:pPr>
      <w:pStyle w:val="Normal"/>
      <w:tabs>
        <w:tab w:val="clear" w:pos="720"/>
        <w:tab w:val="center" w:pos="4153" w:leader="none"/>
        <w:tab w:val="right" w:pos="8306" w:leader="none"/>
      </w:tabs>
      <w:rPr>
        <w:color w:val="000000"/>
      </w:rPr>
    </w:pPr>
    <w:r>
      <w:rPr>
        <w:color w:val="000000"/>
      </w:rPr>
    </w:r>
  </w:p>
  <w:p>
    <w:pPr>
      <w:pStyle w:val="Normal"/>
      <w:tabs>
        <w:tab w:val="clear" w:pos="720"/>
        <w:tab w:val="center" w:pos="4153" w:leader="none"/>
        <w:tab w:val="right" w:pos="830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19" w:firstLine="5954"/>
      </w:pPr>
      <w:rPr>
        <w:rFonts w:cs="Times New Roman"/>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lvl w:ilvl="0">
      <w:start w:val="1"/>
      <w:numFmt w:val="decimal"/>
      <w:lvlText w:val="%1."/>
      <w:lvlJc w:val="left"/>
      <w:pPr>
        <w:tabs>
          <w:tab w:val="num" w:pos="0"/>
        </w:tabs>
        <w:ind w:left="720" w:hanging="360"/>
      </w:pPr>
      <w:rPr>
        <w:rFonts w:cs="Times New Roman"/>
      </w:rPr>
    </w:lvl>
    <w:lvl w:ilvl="1">
      <w:start w:val="0"/>
      <w:numFmt w:val="bullet"/>
      <w:lvlText w:val="–"/>
      <w:lvlJc w:val="left"/>
      <w:pPr>
        <w:tabs>
          <w:tab w:val="num" w:pos="0"/>
        </w:tabs>
        <w:ind w:left="1830" w:hanging="750"/>
      </w:pPr>
      <w:rPr>
        <w:rFonts w:ascii="Times New Roman" w:hAnsi="Times New Roman"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d7129c"/>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Heading1Char"/>
    <w:uiPriority w:val="99"/>
    <w:qFormat/>
    <w:rsid w:val="00d7129c"/>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link w:val="Heading2Char"/>
    <w:uiPriority w:val="99"/>
    <w:qFormat/>
    <w:rsid w:val="00d7129c"/>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link w:val="Heading3Char"/>
    <w:uiPriority w:val="99"/>
    <w:qFormat/>
    <w:rsid w:val="00d7129c"/>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link w:val="Heading4Char"/>
    <w:uiPriority w:val="99"/>
    <w:qFormat/>
    <w:rsid w:val="00d7129c"/>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link w:val="Heading5Char"/>
    <w:uiPriority w:val="99"/>
    <w:qFormat/>
    <w:rsid w:val="00d7129c"/>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Heading6Char"/>
    <w:uiPriority w:val="99"/>
    <w:qFormat/>
    <w:rsid w:val="00d7129c"/>
    <w:pPr>
      <w:keepNext w:val="true"/>
      <w:keepLines/>
      <w:spacing w:lineRule="auto" w:line="276" w:before="200" w:after="40"/>
      <w:outlineLvl w:val="5"/>
    </w:pPr>
    <w:rPr>
      <w:rFonts w:ascii="Arial" w:hAnsi="Arial" w:cs="Arial"/>
      <w:b/>
      <w:color w:val="000000"/>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ea4034"/>
    <w:rPr>
      <w:rFonts w:ascii="Cambria" w:hAnsi="Cambria" w:cs="Times New Roman"/>
      <w:b/>
      <w:bCs/>
      <w:kern w:val="2"/>
      <w:sz w:val="32"/>
      <w:szCs w:val="32"/>
      <w:lang w:val="uk-UA"/>
    </w:rPr>
  </w:style>
  <w:style w:type="character" w:styleId="Heading2Char" w:customStyle="1">
    <w:name w:val="Heading 2 Char"/>
    <w:basedOn w:val="DefaultParagraphFont"/>
    <w:link w:val="Heading2"/>
    <w:uiPriority w:val="99"/>
    <w:semiHidden/>
    <w:qFormat/>
    <w:locked/>
    <w:rsid w:val="00ea4034"/>
    <w:rPr>
      <w:rFonts w:ascii="Cambria" w:hAnsi="Cambria" w:cs="Times New Roman"/>
      <w:b/>
      <w:bCs/>
      <w:i/>
      <w:iCs/>
      <w:sz w:val="28"/>
      <w:szCs w:val="28"/>
      <w:lang w:val="uk-UA"/>
    </w:rPr>
  </w:style>
  <w:style w:type="character" w:styleId="Heading3Char" w:customStyle="1">
    <w:name w:val="Heading 3 Char"/>
    <w:basedOn w:val="DefaultParagraphFont"/>
    <w:link w:val="Heading3"/>
    <w:uiPriority w:val="99"/>
    <w:semiHidden/>
    <w:qFormat/>
    <w:locked/>
    <w:rsid w:val="00ea4034"/>
    <w:rPr>
      <w:rFonts w:ascii="Cambria" w:hAnsi="Cambria" w:cs="Times New Roman"/>
      <w:b/>
      <w:bCs/>
      <w:sz w:val="26"/>
      <w:szCs w:val="26"/>
      <w:lang w:val="uk-UA"/>
    </w:rPr>
  </w:style>
  <w:style w:type="character" w:styleId="Heading4Char" w:customStyle="1">
    <w:name w:val="Heading 4 Char"/>
    <w:basedOn w:val="DefaultParagraphFont"/>
    <w:link w:val="Heading4"/>
    <w:uiPriority w:val="99"/>
    <w:semiHidden/>
    <w:qFormat/>
    <w:locked/>
    <w:rsid w:val="00ea4034"/>
    <w:rPr>
      <w:rFonts w:ascii="Calibri" w:hAnsi="Calibri" w:cs="Times New Roman"/>
      <w:b/>
      <w:bCs/>
      <w:sz w:val="28"/>
      <w:szCs w:val="28"/>
      <w:lang w:val="uk-UA"/>
    </w:rPr>
  </w:style>
  <w:style w:type="character" w:styleId="Heading5Char" w:customStyle="1">
    <w:name w:val="Heading 5 Char"/>
    <w:basedOn w:val="DefaultParagraphFont"/>
    <w:link w:val="Heading5"/>
    <w:uiPriority w:val="99"/>
    <w:semiHidden/>
    <w:qFormat/>
    <w:locked/>
    <w:rsid w:val="00ea4034"/>
    <w:rPr>
      <w:rFonts w:ascii="Calibri" w:hAnsi="Calibri" w:cs="Times New Roman"/>
      <w:b/>
      <w:bCs/>
      <w:i/>
      <w:iCs/>
      <w:sz w:val="26"/>
      <w:szCs w:val="26"/>
      <w:lang w:val="uk-UA"/>
    </w:rPr>
  </w:style>
  <w:style w:type="character" w:styleId="Heading6Char" w:customStyle="1">
    <w:name w:val="Heading 6 Char"/>
    <w:basedOn w:val="DefaultParagraphFont"/>
    <w:link w:val="Heading6"/>
    <w:uiPriority w:val="99"/>
    <w:semiHidden/>
    <w:qFormat/>
    <w:locked/>
    <w:rsid w:val="00ea4034"/>
    <w:rPr>
      <w:rFonts w:ascii="Calibri" w:hAnsi="Calibri" w:cs="Times New Roman"/>
      <w:b/>
      <w:bCs/>
      <w:lang w:val="uk-UA"/>
    </w:rPr>
  </w:style>
  <w:style w:type="character" w:styleId="Style8" w:customStyle="1">
    <w:name w:val="Верхний колонтитул Знак"/>
    <w:basedOn w:val="DefaultParagraphFont"/>
    <w:uiPriority w:val="99"/>
    <w:qFormat/>
    <w:rsid w:val="00d7129c"/>
    <w:rPr>
      <w:rFonts w:cs="Times New Roman"/>
    </w:rPr>
  </w:style>
  <w:style w:type="character" w:styleId="Style9" w:customStyle="1">
    <w:name w:val="Нижний колонтитул Знак"/>
    <w:basedOn w:val="DefaultParagraphFont"/>
    <w:uiPriority w:val="99"/>
    <w:qFormat/>
    <w:rsid w:val="00d7129c"/>
    <w:rPr>
      <w:rFonts w:cs="Times New Roman"/>
    </w:rPr>
  </w:style>
  <w:style w:type="character" w:styleId="Style10" w:customStyle="1">
    <w:name w:val="Интернет-ссылка"/>
    <w:basedOn w:val="DefaultParagraphFont"/>
    <w:uiPriority w:val="99"/>
    <w:rsid w:val="00d7129c"/>
    <w:rPr>
      <w:rFonts w:cs="Times New Roman"/>
      <w:color w:val="0000FF"/>
      <w:u w:val="single"/>
    </w:rPr>
  </w:style>
  <w:style w:type="character" w:styleId="Style11" w:customStyle="1">
    <w:name w:val="Посещённая гиперссылка"/>
    <w:basedOn w:val="DefaultParagraphFont"/>
    <w:uiPriority w:val="99"/>
    <w:semiHidden/>
    <w:rsid w:val="00d7129c"/>
    <w:rPr>
      <w:rFonts w:cs="Times New Roman"/>
      <w:color w:val="800080"/>
      <w:u w:val="single"/>
    </w:rPr>
  </w:style>
  <w:style w:type="character" w:styleId="Style12" w:customStyle="1">
    <w:name w:val="Основной текст Знак"/>
    <w:basedOn w:val="DefaultParagraphFont"/>
    <w:uiPriority w:val="99"/>
    <w:qFormat/>
    <w:rsid w:val="00d7129c"/>
    <w:rPr>
      <w:rFonts w:cs="Times New Roman"/>
      <w:b/>
      <w:bCs/>
      <w:sz w:val="20"/>
      <w:szCs w:val="20"/>
      <w:lang w:val="ru-RU"/>
    </w:rPr>
  </w:style>
  <w:style w:type="character" w:styleId="11" w:customStyle="1">
    <w:name w:val="Неразрешенное упоминание1"/>
    <w:basedOn w:val="DefaultParagraphFont"/>
    <w:uiPriority w:val="99"/>
    <w:semiHidden/>
    <w:qFormat/>
    <w:locked/>
    <w:rsid w:val="00d7129c"/>
    <w:rPr>
      <w:rFonts w:cs="Times New Roman"/>
      <w:color w:val="605E5C"/>
      <w:shd w:fill="E1DFDD" w:val="clear"/>
    </w:rPr>
  </w:style>
  <w:style w:type="character" w:styleId="ListParagraphChar" w:customStyle="1">
    <w:name w:val="List Paragraph Char"/>
    <w:link w:val="10"/>
    <w:uiPriority w:val="99"/>
    <w:qFormat/>
    <w:locked/>
    <w:rsid w:val="00d7129c"/>
    <w:rPr>
      <w:rFonts w:ascii="Calibri" w:hAnsi="Calibri"/>
      <w:sz w:val="22"/>
      <w:lang w:val="ru-RU" w:eastAsia="en-US"/>
    </w:rPr>
  </w:style>
  <w:style w:type="character" w:styleId="Style13" w:customStyle="1">
    <w:name w:val="Обычный (Интернет) Знак"/>
    <w:uiPriority w:val="99"/>
    <w:qFormat/>
    <w:locked/>
    <w:rsid w:val="00d7129c"/>
    <w:rPr>
      <w:rFonts w:eastAsia="Times New Roman"/>
      <w:lang w:eastAsia="uk-UA"/>
    </w:rPr>
  </w:style>
  <w:style w:type="character" w:styleId="Style14" w:customStyle="1">
    <w:name w:val="Абзац списка Знак"/>
    <w:uiPriority w:val="99"/>
    <w:qFormat/>
    <w:locked/>
    <w:rsid w:val="00d7129c"/>
    <w:rPr>
      <w:rFonts w:ascii="Calibri" w:hAnsi="Calibri"/>
      <w:sz w:val="22"/>
      <w:lang w:val="ru-RU" w:eastAsia="en-US"/>
    </w:rPr>
  </w:style>
  <w:style w:type="character" w:styleId="Qowtfont2timesnewroman" w:customStyle="1">
    <w:name w:val="qowt-font2-timesnewroman"/>
    <w:uiPriority w:val="99"/>
    <w:qFormat/>
    <w:rsid w:val="00d7129c"/>
    <w:rPr>
      <w:rFonts w:ascii="Times New Roman" w:hAnsi="Times New Roman"/>
    </w:rPr>
  </w:style>
  <w:style w:type="character" w:styleId="Strong">
    <w:name w:val="Strong"/>
    <w:basedOn w:val="DefaultParagraphFont"/>
    <w:uiPriority w:val="99"/>
    <w:qFormat/>
    <w:rsid w:val="00d7129c"/>
    <w:rPr>
      <w:rFonts w:cs="Times New Roman"/>
      <w:b/>
    </w:rPr>
  </w:style>
  <w:style w:type="character" w:styleId="Style15" w:customStyle="1">
    <w:name w:val="Основной текст с отступом Знак"/>
    <w:basedOn w:val="DefaultParagraphFont"/>
    <w:uiPriority w:val="99"/>
    <w:semiHidden/>
    <w:qFormat/>
    <w:rsid w:val="00d7129c"/>
    <w:rPr>
      <w:rFonts w:cs="Times New Roman"/>
    </w:rPr>
  </w:style>
  <w:style w:type="character" w:styleId="Style16" w:customStyle="1">
    <w:name w:val="Текст выноски Знак"/>
    <w:basedOn w:val="DefaultParagraphFont"/>
    <w:uiPriority w:val="99"/>
    <w:semiHidden/>
    <w:qFormat/>
    <w:rsid w:val="00d7129c"/>
    <w:rPr>
      <w:rFonts w:ascii="Tahoma" w:hAnsi="Tahoma" w:cs="Tahoma"/>
      <w:sz w:val="16"/>
      <w:szCs w:val="16"/>
    </w:rPr>
  </w:style>
  <w:style w:type="character" w:styleId="Style17">
    <w:name w:val="Выделение"/>
    <w:basedOn w:val="DefaultParagraphFont"/>
    <w:uiPriority w:val="99"/>
    <w:qFormat/>
    <w:rsid w:val="00d7129c"/>
    <w:rPr>
      <w:rFonts w:cs="Times New Roman"/>
      <w:i/>
    </w:rPr>
  </w:style>
  <w:style w:type="character" w:styleId="NormalWebChar" w:customStyle="1">
    <w:name w:val="Normal (Web) Char"/>
    <w:basedOn w:val="DefaultParagraphFont"/>
    <w:link w:val="NormalWeb"/>
    <w:uiPriority w:val="99"/>
    <w:semiHidden/>
    <w:qFormat/>
    <w:locked/>
    <w:rsid w:val="00d7129c"/>
    <w:rPr>
      <w:rFonts w:cs="Times New Roman"/>
      <w:color w:val="605E5C"/>
      <w:shd w:fill="E1DFDD" w:val="clear"/>
    </w:rPr>
  </w:style>
  <w:style w:type="character" w:styleId="UnresolvedMention" w:customStyle="1">
    <w:name w:val="Unresolved Mention"/>
    <w:basedOn w:val="DefaultParagraphFont"/>
    <w:uiPriority w:val="99"/>
    <w:semiHidden/>
    <w:qFormat/>
    <w:rsid w:val="00d7129c"/>
    <w:rPr>
      <w:rFonts w:cs="Times New Roman"/>
      <w:color w:val="605E5C"/>
      <w:shd w:fill="E1DFDD" w:val="clear"/>
    </w:rPr>
  </w:style>
  <w:style w:type="character" w:styleId="21" w:customStyle="1">
    <w:name w:val="Обычный (веб) Знак2"/>
    <w:uiPriority w:val="99"/>
    <w:qFormat/>
    <w:rsid w:val="00d7129c"/>
    <w:rPr>
      <w:rFonts w:eastAsia="Times New Roman"/>
      <w:lang w:eastAsia="uk-UA"/>
    </w:rPr>
  </w:style>
  <w:style w:type="character" w:styleId="Style18" w:customStyle="1">
    <w:name w:val="Без интервала Знак"/>
    <w:link w:val="11"/>
    <w:uiPriority w:val="99"/>
    <w:qFormat/>
    <w:locked/>
    <w:rsid w:val="00d7129c"/>
    <w:rPr>
      <w:rFonts w:ascii="Arial" w:hAnsi="Arial"/>
      <w:color w:val="000000"/>
      <w:sz w:val="22"/>
      <w:lang w:val="ru-RU" w:eastAsia="ru-RU"/>
    </w:rPr>
  </w:style>
  <w:style w:type="character" w:styleId="BodyTextChar" w:customStyle="1">
    <w:name w:val="Body Text Char"/>
    <w:basedOn w:val="DefaultParagraphFont"/>
    <w:link w:val="BodyText"/>
    <w:uiPriority w:val="99"/>
    <w:semiHidden/>
    <w:qFormat/>
    <w:locked/>
    <w:rsid w:val="00ea4034"/>
    <w:rPr>
      <w:rFonts w:cs="Times New Roman"/>
      <w:sz w:val="24"/>
      <w:szCs w:val="24"/>
      <w:lang w:val="uk-UA"/>
    </w:rPr>
  </w:style>
  <w:style w:type="character" w:styleId="TitleChar" w:customStyle="1">
    <w:name w:val="Title Char"/>
    <w:basedOn w:val="DefaultParagraphFont"/>
    <w:link w:val="Title"/>
    <w:uiPriority w:val="99"/>
    <w:qFormat/>
    <w:locked/>
    <w:rsid w:val="00ea4034"/>
    <w:rPr>
      <w:rFonts w:ascii="Cambria" w:hAnsi="Cambria" w:cs="Times New Roman"/>
      <w:b/>
      <w:bCs/>
      <w:kern w:val="2"/>
      <w:sz w:val="32"/>
      <w:szCs w:val="32"/>
      <w:lang w:val="uk-UA"/>
    </w:rPr>
  </w:style>
  <w:style w:type="character" w:styleId="SubtitleChar" w:customStyle="1">
    <w:name w:val="Subtitle Char"/>
    <w:basedOn w:val="DefaultParagraphFont"/>
    <w:link w:val="Subtitle"/>
    <w:uiPriority w:val="99"/>
    <w:qFormat/>
    <w:locked/>
    <w:rsid w:val="00ea4034"/>
    <w:rPr>
      <w:rFonts w:ascii="Cambria" w:hAnsi="Cambria" w:cs="Times New Roman"/>
      <w:sz w:val="24"/>
      <w:szCs w:val="24"/>
      <w:lang w:val="uk-UA"/>
    </w:rPr>
  </w:style>
  <w:style w:type="character" w:styleId="HeaderChar" w:customStyle="1">
    <w:name w:val="Header Char"/>
    <w:basedOn w:val="DefaultParagraphFont"/>
    <w:link w:val="Header"/>
    <w:uiPriority w:val="99"/>
    <w:semiHidden/>
    <w:qFormat/>
    <w:locked/>
    <w:rsid w:val="00ea4034"/>
    <w:rPr>
      <w:rFonts w:cs="Times New Roman"/>
      <w:sz w:val="24"/>
      <w:szCs w:val="24"/>
      <w:lang w:val="uk-UA"/>
    </w:rPr>
  </w:style>
  <w:style w:type="character" w:styleId="FooterChar" w:customStyle="1">
    <w:name w:val="Footer Char"/>
    <w:basedOn w:val="DefaultParagraphFont"/>
    <w:link w:val="Footer"/>
    <w:uiPriority w:val="99"/>
    <w:semiHidden/>
    <w:qFormat/>
    <w:locked/>
    <w:rsid w:val="00ea4034"/>
    <w:rPr>
      <w:rFonts w:cs="Times New Roman"/>
      <w:sz w:val="24"/>
      <w:szCs w:val="24"/>
      <w:lang w:val="uk-UA"/>
    </w:rPr>
  </w:style>
  <w:style w:type="character" w:styleId="BodyTextIndentChar" w:customStyle="1">
    <w:name w:val="Body Text Indent Char"/>
    <w:basedOn w:val="DefaultParagraphFont"/>
    <w:link w:val="BodyTextIndent"/>
    <w:uiPriority w:val="99"/>
    <w:semiHidden/>
    <w:qFormat/>
    <w:locked/>
    <w:rsid w:val="00ea4034"/>
    <w:rPr>
      <w:rFonts w:cs="Times New Roman"/>
      <w:sz w:val="24"/>
      <w:szCs w:val="24"/>
      <w:lang w:val="uk-UA"/>
    </w:rPr>
  </w:style>
  <w:style w:type="character" w:styleId="BalloonTextChar" w:customStyle="1">
    <w:name w:val="Balloon Text Char"/>
    <w:basedOn w:val="DefaultParagraphFont"/>
    <w:link w:val="BalloonText"/>
    <w:uiPriority w:val="99"/>
    <w:semiHidden/>
    <w:qFormat/>
    <w:locked/>
    <w:rsid w:val="00ea4034"/>
    <w:rPr>
      <w:rFonts w:cs="Times New Roman"/>
      <w:sz w:val="2"/>
      <w:lang w:val="uk-UA"/>
    </w:rPr>
  </w:style>
  <w:style w:type="paragraph" w:styleId="Style19" w:customStyle="1">
    <w:name w:val="Заголовок"/>
    <w:basedOn w:val="Normal"/>
    <w:next w:val="Style20"/>
    <w:uiPriority w:val="99"/>
    <w:qFormat/>
    <w:rsid w:val="00fe4c82"/>
    <w:pPr>
      <w:keepNext w:val="true"/>
      <w:spacing w:before="240" w:after="120"/>
    </w:pPr>
    <w:rPr>
      <w:rFonts w:ascii="Liberation Sans" w:hAnsi="Liberation Sans" w:eastAsia="Microsoft YaHei" w:cs="Arial"/>
      <w:sz w:val="28"/>
      <w:szCs w:val="28"/>
    </w:rPr>
  </w:style>
  <w:style w:type="paragraph" w:styleId="Style20">
    <w:name w:val="Body Text"/>
    <w:basedOn w:val="Normal"/>
    <w:link w:val="BodyTextChar"/>
    <w:uiPriority w:val="99"/>
    <w:rsid w:val="00d7129c"/>
    <w:pPr>
      <w:jc w:val="both"/>
    </w:pPr>
    <w:rPr>
      <w:b/>
      <w:bCs/>
      <w:sz w:val="20"/>
      <w:szCs w:val="20"/>
      <w:lang w:val="ru-RU"/>
    </w:rPr>
  </w:style>
  <w:style w:type="paragraph" w:styleId="Style21">
    <w:name w:val="List"/>
    <w:basedOn w:val="Style20"/>
    <w:uiPriority w:val="99"/>
    <w:rsid w:val="00fe4c82"/>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Caption">
    <w:name w:val="caption"/>
    <w:basedOn w:val="Normal"/>
    <w:uiPriority w:val="99"/>
    <w:qFormat/>
    <w:rsid w:val="00fe4c82"/>
    <w:pPr>
      <w:suppressLineNumbers/>
      <w:spacing w:before="120" w:after="120"/>
    </w:pPr>
    <w:rPr>
      <w:rFonts w:cs="Arial"/>
      <w:i/>
      <w:iCs/>
    </w:rPr>
  </w:style>
  <w:style w:type="paragraph" w:styleId="Index1">
    <w:name w:val="index 1"/>
    <w:basedOn w:val="Normal"/>
    <w:next w:val="Normal"/>
    <w:autoRedefine/>
    <w:uiPriority w:val="99"/>
    <w:semiHidden/>
    <w:qFormat/>
    <w:rsid w:val="00d7129c"/>
    <w:pPr>
      <w:ind w:left="240" w:hanging="240"/>
    </w:pPr>
    <w:rPr/>
  </w:style>
  <w:style w:type="paragraph" w:styleId="Indexheading">
    <w:name w:val="index heading"/>
    <w:basedOn w:val="Normal"/>
    <w:uiPriority w:val="99"/>
    <w:qFormat/>
    <w:rsid w:val="00fe4c82"/>
    <w:pPr>
      <w:suppressLineNumbers/>
    </w:pPr>
    <w:rPr>
      <w:rFonts w:cs="Arial"/>
    </w:rPr>
  </w:style>
  <w:style w:type="paragraph" w:styleId="Style24">
    <w:name w:val="Title"/>
    <w:basedOn w:val="Normal"/>
    <w:next w:val="Style20"/>
    <w:link w:val="TitleChar"/>
    <w:uiPriority w:val="99"/>
    <w:qFormat/>
    <w:rsid w:val="00d7129c"/>
    <w:pPr>
      <w:keepNext w:val="true"/>
      <w:keepLines/>
      <w:spacing w:lineRule="auto" w:line="276" w:before="480" w:after="120"/>
    </w:pPr>
    <w:rPr>
      <w:rFonts w:ascii="Arial" w:hAnsi="Arial" w:cs="Arial"/>
      <w:b/>
      <w:color w:val="000000"/>
      <w:sz w:val="72"/>
      <w:szCs w:val="72"/>
    </w:rPr>
  </w:style>
  <w:style w:type="paragraph" w:styleId="Style25">
    <w:name w:val="Subtitle"/>
    <w:basedOn w:val="Normal"/>
    <w:next w:val="Normal"/>
    <w:link w:val="SubtitleChar"/>
    <w:uiPriority w:val="99"/>
    <w:qFormat/>
    <w:rsid w:val="00d7129c"/>
    <w:pPr>
      <w:keepNext w:val="true"/>
      <w:keepLines/>
      <w:spacing w:lineRule="auto" w:line="276" w:before="360" w:after="80"/>
    </w:pPr>
    <w:rPr>
      <w:rFonts w:ascii="Georgia" w:hAnsi="Georgia" w:cs="Georgia"/>
      <w:i/>
      <w:color w:val="666666"/>
      <w:sz w:val="48"/>
      <w:szCs w:val="48"/>
    </w:rPr>
  </w:style>
  <w:style w:type="paragraph" w:styleId="Style26" w:customStyle="1">
    <w:name w:val="Колонтитул"/>
    <w:basedOn w:val="Normal"/>
    <w:uiPriority w:val="99"/>
    <w:qFormat/>
    <w:rsid w:val="00fe4c82"/>
    <w:pPr/>
    <w:rPr/>
  </w:style>
  <w:style w:type="paragraph" w:styleId="Style27">
    <w:name w:val="Header"/>
    <w:basedOn w:val="Normal"/>
    <w:link w:val="HeaderChar"/>
    <w:uiPriority w:val="99"/>
    <w:rsid w:val="00d7129c"/>
    <w:pPr>
      <w:tabs>
        <w:tab w:val="clear" w:pos="720"/>
        <w:tab w:val="center" w:pos="4513" w:leader="none"/>
        <w:tab w:val="right" w:pos="9026" w:leader="none"/>
      </w:tabs>
    </w:pPr>
    <w:rPr/>
  </w:style>
  <w:style w:type="paragraph" w:styleId="Style28">
    <w:name w:val="Footer"/>
    <w:basedOn w:val="Normal"/>
    <w:link w:val="FooterChar"/>
    <w:uiPriority w:val="99"/>
    <w:rsid w:val="00d7129c"/>
    <w:pPr>
      <w:tabs>
        <w:tab w:val="clear" w:pos="720"/>
        <w:tab w:val="center" w:pos="4513" w:leader="none"/>
        <w:tab w:val="right" w:pos="9026" w:leader="none"/>
      </w:tabs>
    </w:pPr>
    <w:rPr/>
  </w:style>
  <w:style w:type="paragraph" w:styleId="NoSpacing">
    <w:name w:val="No Spacing"/>
    <w:uiPriority w:val="99"/>
    <w:qFormat/>
    <w:rsid w:val="00d7129c"/>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2" w:customStyle="1">
    <w:name w:val="Абзац списка1"/>
    <w:basedOn w:val="Normal"/>
    <w:link w:val="ListParagraphChar"/>
    <w:uiPriority w:val="99"/>
    <w:qFormat/>
    <w:rsid w:val="00d7129c"/>
    <w:pPr>
      <w:spacing w:lineRule="auto" w:line="259" w:before="0" w:after="160"/>
      <w:ind w:left="720" w:hanging="0"/>
    </w:pPr>
    <w:rPr>
      <w:rFonts w:ascii="Calibri" w:hAnsi="Calibri"/>
      <w:sz w:val="22"/>
      <w:szCs w:val="20"/>
      <w:lang w:val="ru-RU" w:eastAsia="en-US"/>
    </w:rPr>
  </w:style>
  <w:style w:type="paragraph" w:styleId="NormalWeb">
    <w:name w:val="Normal (Web)"/>
    <w:basedOn w:val="Normal"/>
    <w:link w:val="NormalWebChar"/>
    <w:uiPriority w:val="99"/>
    <w:qFormat/>
    <w:rsid w:val="00d7129c"/>
    <w:pPr>
      <w:spacing w:beforeAutospacing="1" w:afterAutospacing="1"/>
    </w:pPr>
    <w:rPr>
      <w:lang w:eastAsia="uk-UA"/>
    </w:rPr>
  </w:style>
  <w:style w:type="paragraph" w:styleId="ListParagraph">
    <w:name w:val="List Paragraph"/>
    <w:basedOn w:val="Normal"/>
    <w:uiPriority w:val="99"/>
    <w:qFormat/>
    <w:rsid w:val="00d7129c"/>
    <w:pPr>
      <w:spacing w:lineRule="auto" w:line="259" w:before="0" w:after="160"/>
      <w:ind w:left="720" w:hanging="0"/>
      <w:contextualSpacing/>
    </w:pPr>
    <w:rPr>
      <w:rFonts w:ascii="Calibri" w:hAnsi="Calibri"/>
      <w:sz w:val="22"/>
      <w:szCs w:val="22"/>
      <w:lang w:val="ru-RU" w:eastAsia="en-US"/>
    </w:rPr>
  </w:style>
  <w:style w:type="paragraph" w:styleId="13" w:customStyle="1">
    <w:name w:val="Обычный1"/>
    <w:link w:val="a7"/>
    <w:uiPriority w:val="99"/>
    <w:qFormat/>
    <w:rsid w:val="00d7129c"/>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22" w:customStyle="1">
    <w:name w:val="Название2"/>
    <w:basedOn w:val="Normal"/>
    <w:uiPriority w:val="99"/>
    <w:qFormat/>
    <w:rsid w:val="00d7129c"/>
    <w:pPr>
      <w:suppressLineNumbers/>
      <w:spacing w:before="120" w:after="120"/>
    </w:pPr>
    <w:rPr>
      <w:rFonts w:ascii="Arial" w:hAnsi="Arial" w:cs="Mangal"/>
      <w:i/>
      <w:iCs/>
      <w:sz w:val="20"/>
      <w:lang w:val="ru-RU" w:eastAsia="ar-SA"/>
    </w:rPr>
  </w:style>
  <w:style w:type="paragraph" w:styleId="Style29">
    <w:name w:val="Body Text Indent"/>
    <w:basedOn w:val="Normal"/>
    <w:link w:val="BodyTextIndentChar"/>
    <w:uiPriority w:val="99"/>
    <w:semiHidden/>
    <w:rsid w:val="00d7129c"/>
    <w:pPr>
      <w:spacing w:before="0" w:after="120"/>
      <w:ind w:left="283" w:hanging="0"/>
    </w:pPr>
    <w:rPr/>
  </w:style>
  <w:style w:type="paragraph" w:styleId="BalloonText">
    <w:name w:val="Balloon Text"/>
    <w:basedOn w:val="Normal"/>
    <w:link w:val="BalloonTextChar"/>
    <w:uiPriority w:val="99"/>
    <w:semiHidden/>
    <w:qFormat/>
    <w:rsid w:val="00d7129c"/>
    <w:pPr/>
    <w:rPr>
      <w:rFonts w:ascii="Tahoma" w:hAnsi="Tahoma" w:cs="Tahoma"/>
      <w:sz w:val="16"/>
      <w:szCs w:val="16"/>
    </w:rPr>
  </w:style>
  <w:style w:type="paragraph" w:styleId="Rvps2" w:customStyle="1">
    <w:name w:val="rvps2"/>
    <w:basedOn w:val="Normal"/>
    <w:uiPriority w:val="99"/>
    <w:qFormat/>
    <w:rsid w:val="00d7129c"/>
    <w:pPr>
      <w:spacing w:before="280" w:after="280"/>
    </w:pPr>
    <w:rPr>
      <w:lang w:val="ru-RU" w:eastAsia="ar-SA"/>
    </w:rPr>
  </w:style>
  <w:style w:type="paragraph" w:styleId="14" w:customStyle="1">
    <w:name w:val="Без интервала1"/>
    <w:uiPriority w:val="99"/>
    <w:qFormat/>
    <w:rsid w:val="00d7129c"/>
    <w:pPr>
      <w:widowControl/>
      <w:suppressAutoHyphens w:val="true"/>
      <w:bidi w:val="0"/>
      <w:spacing w:before="0" w:after="0"/>
      <w:jc w:val="left"/>
    </w:pPr>
    <w:rPr>
      <w:rFonts w:ascii="Calibri" w:hAnsi="Calibri" w:eastAsia="Times New Roman" w:cs="Times New Roman"/>
      <w:color w:val="auto"/>
      <w:kern w:val="0"/>
      <w:sz w:val="22"/>
      <w:szCs w:val="22"/>
      <w:lang w:val="uk-UA" w:eastAsia="en-US" w:bidi="ar-SA"/>
    </w:rPr>
  </w:style>
  <w:style w:type="paragraph" w:styleId="15" w:customStyle="1">
    <w:name w:val="Цитата1"/>
    <w:basedOn w:val="Normal"/>
    <w:uiPriority w:val="99"/>
    <w:qFormat/>
    <w:rsid w:val="00d7129c"/>
    <w:pPr>
      <w:ind w:left="284" w:right="-58" w:firstLine="436"/>
      <w:jc w:val="both"/>
    </w:pPr>
    <w:rPr>
      <w:szCs w:val="20"/>
      <w:lang w:val="ru-RU" w:eastAsia="ar-SA"/>
    </w:rPr>
  </w:style>
  <w:style w:type="paragraph" w:styleId="Style30" w:customStyle="1">
    <w:name w:val="Содержимое таблицы"/>
    <w:basedOn w:val="Normal"/>
    <w:uiPriority w:val="99"/>
    <w:qFormat/>
    <w:rsid w:val="00fe4c82"/>
    <w:pPr>
      <w:widowControl w:val="false"/>
      <w:suppressLineNumbers/>
    </w:pPr>
    <w:rPr/>
  </w:style>
  <w:style w:type="paragraph" w:styleId="Style31" w:customStyle="1">
    <w:name w:val="Заголовок таблицы"/>
    <w:basedOn w:val="Style30"/>
    <w:uiPriority w:val="99"/>
    <w:qFormat/>
    <w:rsid w:val="00fe4c82"/>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rsid w:val="00d7129c"/>
    <w:rPr>
      <w:lang w:val="uk-UA"/>
      <w:sz w:val="24"/>
      <w:szCs w:val="24"/>
    </w:rPr>
    <w:tblPr>
      <w:tblCellMar>
        <w:top w:w="0" w:type="dxa"/>
        <w:left w:w="0" w:type="dxa"/>
        <w:bottom w:w="0" w:type="dxa"/>
        <w:right w:w="0" w:type="dxa"/>
      </w:tblCellMar>
    </w:tblPr>
  </w:style>
  <w:style w:type="table" w:styleId="TableGrid">
    <w:name w:val="Table Grid"/>
    <w:basedOn w:val="TableNormal"/>
    <w:uiPriority w:val="99"/>
    <w:rsid w:val="00d7129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mailto:marinaganeva@ukr.net" TargetMode="External"/><Relationship Id="rId4" Type="http://schemas.openxmlformats.org/officeDocument/2006/relationships/hyperlink" Target="https://acskidd.gov.ua/sign" TargetMode="External"/><Relationship Id="rId5" Type="http://schemas.openxmlformats.org/officeDocument/2006/relationships/hyperlink" Target="https://zakon.rada.gov.ua/laws/show/2155-19"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Application>LibreOffice/7.2.5.2$Windows_X86_64 LibreOffice_project/499f9727c189e6ef3471021d6132d4c694f357e5</Application>
  <AppVersion>15.0000</AppVersion>
  <Pages>19</Pages>
  <Words>5067</Words>
  <Characters>35727</Characters>
  <CharactersWithSpaces>40449</CharactersWithSpaces>
  <Paragraphs>429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2022-08-15T06:15:00Z</dcterms:created>
  <dc:creator>user</dc:creator>
  <dc:description/>
  <dc:language>ru-RU</dc:language>
  <cp:lastModifiedBy/>
  <cp:lastPrinted>2022-08-15T11:57:06Z</cp:lastPrinted>
  <dcterms:modified xsi:type="dcterms:W3CDTF">2022-08-15T13:37:02Z</dcterms:modified>
  <cp:revision>7</cp:revision>
  <dc:subject/>
  <dc:title>КОМУНАЛЬНЕ НЕКОМЕРЦІЙНЕ ПІДПРИЄМСТВО "ЦЕНТР ПЕРВИННОЇ МЕДИКО-САНІТАРНОЇ ДОПОМОГИ № 2" ОДЕСЬКОЇ МІСЬКОЇ РАДИ</dc:title>
</cp:coreProperties>
</file>

<file path=docProps/custom.xml><?xml version="1.0" encoding="utf-8"?>
<Properties xmlns="http://schemas.openxmlformats.org/officeDocument/2006/custom-properties" xmlns:vt="http://schemas.openxmlformats.org/officeDocument/2006/docPropsVTypes"/>
</file>