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75" w:rsidRPr="00A36F0A" w:rsidRDefault="000F6875" w:rsidP="000F687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0F6875" w:rsidRPr="00A36F0A" w:rsidRDefault="000F6875" w:rsidP="000F6875">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0F6875" w:rsidRPr="00A36F0A" w:rsidRDefault="000F6875" w:rsidP="000F6875">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0F6875" w:rsidRDefault="000F6875" w:rsidP="000F6875">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rsidR="000F6875" w:rsidRPr="00F92D13" w:rsidRDefault="000F6875" w:rsidP="000F6875">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rsidR="000F6875" w:rsidRPr="00F92D13" w:rsidRDefault="000F6875" w:rsidP="000F6875">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rsidR="000F6875" w:rsidRPr="00F92D13" w:rsidRDefault="000F6875" w:rsidP="000F6875">
      <w:pPr>
        <w:spacing w:after="0" w:line="216" w:lineRule="auto"/>
        <w:ind w:left="191" w:firstLine="709"/>
        <w:jc w:val="right"/>
        <w:rPr>
          <w:rFonts w:ascii="Times New Roman" w:eastAsia="Times New Roman" w:hAnsi="Times New Roman" w:cs="Times New Roman"/>
          <w:lang w:eastAsia="ru-RU"/>
        </w:rPr>
      </w:pPr>
    </w:p>
    <w:p w:rsidR="000F6875" w:rsidRPr="00F92D13" w:rsidRDefault="000F6875" w:rsidP="000F6875">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rsidR="000F6875" w:rsidRPr="00F92D13" w:rsidRDefault="000F6875" w:rsidP="000F6875">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rsidR="000F6875" w:rsidRPr="00F92D13" w:rsidRDefault="000F6875" w:rsidP="000F6875">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rsidR="000F6875" w:rsidRPr="00F92D13" w:rsidRDefault="000F6875" w:rsidP="000F6875">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rsidR="000F6875" w:rsidRPr="001027A1" w:rsidRDefault="000F6875" w:rsidP="000F687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Pr="001027A1">
        <w:rPr>
          <w:rFonts w:ascii="Times New Roman" w:eastAsia="Times New Roman" w:hAnsi="Times New Roman" w:cs="Times New Roman"/>
          <w:sz w:val="24"/>
          <w:szCs w:val="24"/>
          <w:lang w:eastAsia="ru-RU"/>
        </w:rPr>
        <w:t xml:space="preserve">, надалі - Товар, для забезпечення потреби </w:t>
      </w:r>
      <w:r>
        <w:rPr>
          <w:rFonts w:ascii="Times New Roman" w:eastAsia="Times New Roman" w:hAnsi="Times New Roman" w:cs="Times New Roman"/>
          <w:sz w:val="24"/>
          <w:szCs w:val="24"/>
          <w:lang w:eastAsia="ru-RU"/>
        </w:rPr>
        <w:t>Дністровського</w:t>
      </w:r>
      <w:r w:rsidRPr="001027A1">
        <w:rPr>
          <w:rFonts w:ascii="Times New Roman" w:eastAsia="Times New Roman" w:hAnsi="Times New Roman" w:cs="Times New Roman"/>
          <w:sz w:val="24"/>
          <w:szCs w:val="24"/>
          <w:lang w:eastAsia="ru-RU"/>
        </w:rPr>
        <w:t xml:space="preserve"> районного управління Головного управління Держпродспоживслужби в Чернівецькій області, а Покупець зобов'язується прийняти цей Товар та своєчасно здійснити його оплату.</w:t>
      </w:r>
    </w:p>
    <w:p w:rsidR="000F6875" w:rsidRPr="00F92D13" w:rsidRDefault="000F6875" w:rsidP="000F6875">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xml:space="preserve">,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rsidR="000F6875" w:rsidRPr="00F92D13" w:rsidRDefault="000F6875" w:rsidP="000F6875">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rsidR="000F6875" w:rsidRPr="00F92D13" w:rsidRDefault="000F6875" w:rsidP="000F6875">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rsidR="000F6875" w:rsidRPr="00F92D13" w:rsidRDefault="000F6875" w:rsidP="000F6875">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0F6875" w:rsidRPr="00F92D13" w:rsidRDefault="000F6875" w:rsidP="000F6875">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rsidR="000F6875" w:rsidRPr="00F92D13" w:rsidRDefault="000F6875" w:rsidP="000F687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rsidR="000F6875" w:rsidRDefault="000F6875" w:rsidP="000F687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Договору.</w:t>
      </w:r>
    </w:p>
    <w:p w:rsidR="000F6875" w:rsidRPr="00F92D13" w:rsidRDefault="000F6875" w:rsidP="000F68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адреси згідно Специфікації</w:t>
      </w:r>
      <w:r w:rsidRPr="00F92D13">
        <w:rPr>
          <w:rFonts w:ascii="Times New Roman" w:eastAsia="Times New Roman" w:hAnsi="Times New Roman" w:cs="Times New Roman"/>
          <w:sz w:val="24"/>
          <w:szCs w:val="24"/>
          <w:lang w:eastAsia="ru-RU"/>
        </w:rPr>
        <w:t>, яка є невід’ємною частиною цього Договору</w:t>
      </w:r>
      <w:r>
        <w:rPr>
          <w:rFonts w:ascii="Times New Roman" w:eastAsia="Times New Roman" w:hAnsi="Times New Roman" w:cs="Times New Roman"/>
          <w:sz w:val="24"/>
          <w:szCs w:val="24"/>
          <w:lang w:eastAsia="ru-RU"/>
        </w:rPr>
        <w:t>.</w:t>
      </w:r>
    </w:p>
    <w:p w:rsidR="000F6875" w:rsidRPr="00F92D13" w:rsidRDefault="000F6875" w:rsidP="000F68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0F6875" w:rsidRPr="00F92D13" w:rsidRDefault="000F6875" w:rsidP="000F68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rsidR="000F6875" w:rsidRPr="00F92D13" w:rsidRDefault="000F6875" w:rsidP="000F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rsidR="000F6875" w:rsidRPr="00F92D13" w:rsidRDefault="000F6875" w:rsidP="000F6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0F6875" w:rsidRPr="00F92D13" w:rsidRDefault="000F6875" w:rsidP="000F6875">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3. СТРОКИ І ПОРЯДОК ПОСТАВКИ</w:t>
      </w:r>
    </w:p>
    <w:p w:rsidR="000F6875" w:rsidRPr="00F806E6" w:rsidRDefault="000F6875" w:rsidP="000F6875">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lastRenderedPageBreak/>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rsidR="000F6875" w:rsidRPr="00F92D13" w:rsidRDefault="000F6875" w:rsidP="000F6875">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rsidR="000F6875" w:rsidRPr="00F92D13" w:rsidRDefault="000F6875" w:rsidP="000F68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rsidR="000F6875" w:rsidRPr="00F92D13" w:rsidRDefault="000F6875" w:rsidP="000F68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0F6875" w:rsidRPr="00F92D13" w:rsidRDefault="000F6875" w:rsidP="000F687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0F6875" w:rsidRPr="00F92D13" w:rsidRDefault="000F6875" w:rsidP="000F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rsidR="000F6875" w:rsidRPr="00F92D13" w:rsidRDefault="000F6875" w:rsidP="000F687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rsidR="000F6875" w:rsidRPr="00F92D13" w:rsidRDefault="000F6875" w:rsidP="000F6875">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rsidR="000F6875" w:rsidRPr="00F92D13" w:rsidRDefault="000F6875" w:rsidP="000F6875">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0F6875" w:rsidRPr="00F92D13" w:rsidRDefault="000F6875" w:rsidP="000F6875">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0F6875" w:rsidRPr="00F92D13" w:rsidRDefault="000F6875" w:rsidP="000F6875">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0F6875" w:rsidRPr="00F92D13" w:rsidRDefault="000F6875" w:rsidP="000F6875">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rsidR="000F6875" w:rsidRPr="00F92D13" w:rsidRDefault="000F6875" w:rsidP="000F6875">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0F6875" w:rsidRPr="00F92D13" w:rsidRDefault="000F6875" w:rsidP="000F6875">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0F6875" w:rsidRPr="00F92D13" w:rsidRDefault="000F6875" w:rsidP="000F6875">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rsidR="000F6875" w:rsidRPr="00F92D13" w:rsidRDefault="000F6875" w:rsidP="000F6875">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0F6875" w:rsidRPr="00F92D13" w:rsidRDefault="000F6875" w:rsidP="000F6875">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rsidR="000F6875" w:rsidRPr="00F92D13" w:rsidRDefault="000F6875" w:rsidP="000F6875">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0F6875" w:rsidRPr="00F92D13" w:rsidRDefault="000F6875" w:rsidP="000F6875">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0F6875" w:rsidRPr="00F92D13" w:rsidRDefault="000F6875" w:rsidP="000F6875">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F92D13">
        <w:rPr>
          <w:rFonts w:ascii="Times New Roman" w:eastAsia="Times New Roman" w:hAnsi="Times New Roman" w:cs="Times New Roman"/>
          <w:color w:val="000000"/>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rsidR="000F6875" w:rsidRPr="00F92D13" w:rsidRDefault="000F6875" w:rsidP="000F6875">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0F6875" w:rsidRPr="00F92D13" w:rsidRDefault="000F6875" w:rsidP="000F6875">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0F6875" w:rsidRPr="00F92D13" w:rsidRDefault="000F6875" w:rsidP="000F6875">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rsidR="000F6875" w:rsidRDefault="000F6875" w:rsidP="000F6875">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rsidR="000F6875" w:rsidRPr="00F92D13" w:rsidRDefault="000F6875" w:rsidP="000F6875">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sz w:val="24"/>
          <w:szCs w:val="24"/>
          <w:lang w:eastAsia="ru-RU"/>
        </w:rPr>
        <w:t>.</w:t>
      </w:r>
    </w:p>
    <w:p w:rsidR="000F6875" w:rsidRPr="00F92D13" w:rsidRDefault="000F6875" w:rsidP="000F6875">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rsidR="000F6875" w:rsidRPr="00F92D13" w:rsidRDefault="000F6875" w:rsidP="000F687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F6875" w:rsidRPr="00F92D13" w:rsidRDefault="000F6875" w:rsidP="000F687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92D13">
        <w:rPr>
          <w:rFonts w:ascii="Times New Roman" w:eastAsia="Times New Roman" w:hAnsi="Times New Roman" w:cs="Times New Roman"/>
          <w:color w:val="000000"/>
          <w:sz w:val="24"/>
          <w:szCs w:val="24"/>
          <w:lang w:eastAsia="ru-RU"/>
        </w:rPr>
        <w:t>відносин</w:t>
      </w:r>
      <w:proofErr w:type="spellEnd"/>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F6875" w:rsidRPr="00F92D13" w:rsidRDefault="000F6875" w:rsidP="000F687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0F6875" w:rsidRPr="00F92D13" w:rsidRDefault="000F6875" w:rsidP="000F687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0F6875" w:rsidRPr="00F60FBF" w:rsidRDefault="000F6875" w:rsidP="000F6875">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0" w:name="n74"/>
      <w:bookmarkStart w:id="1" w:name="n76"/>
      <w:bookmarkEnd w:id="0"/>
      <w:bookmarkEnd w:id="1"/>
      <w:r w:rsidRPr="00F60FBF">
        <w:rPr>
          <w:lang w:val="uk-UA" w:eastAsia="uk-UA"/>
        </w:rPr>
        <w:t>Істотні умови договору</w:t>
      </w:r>
      <w:r>
        <w:rPr>
          <w:lang w:val="uk-UA" w:eastAsia="uk-UA"/>
        </w:rPr>
        <w:t xml:space="preserve"> про закупівлю</w:t>
      </w:r>
      <w:r w:rsidRPr="00F60FBF">
        <w:rPr>
          <w:lang w:val="uk-UA" w:eastAsia="uk-UA"/>
        </w:rPr>
        <w:t>, не можуть змінюватися після його підписання до виконання зобов’язань сторонами в повному обсязі, крім випадків:</w:t>
      </w:r>
    </w:p>
    <w:p w:rsidR="000F6875" w:rsidRPr="00F60FBF" w:rsidRDefault="000F6875" w:rsidP="000F6875">
      <w:pPr>
        <w:pStyle w:val="rvps2"/>
        <w:spacing w:before="0" w:beforeAutospacing="0" w:after="0" w:afterAutospacing="0"/>
        <w:jc w:val="both"/>
        <w:rPr>
          <w:lang w:val="uk-UA" w:eastAsia="uk-UA"/>
        </w:rPr>
      </w:pPr>
      <w:bookmarkStart w:id="2" w:name="n510"/>
      <w:bookmarkEnd w:id="2"/>
      <w:r w:rsidRPr="00F60FBF">
        <w:rPr>
          <w:lang w:val="uk-UA" w:eastAsia="uk-UA"/>
        </w:rPr>
        <w:t>1) зменшення обсягів закупівлі, зокрема з урахуванням фактичного обсягу видатків замовника;</w:t>
      </w:r>
    </w:p>
    <w:p w:rsidR="000F6875" w:rsidRDefault="000F6875" w:rsidP="000F6875">
      <w:pPr>
        <w:pStyle w:val="rvps2"/>
        <w:spacing w:before="0" w:beforeAutospacing="0" w:after="0" w:afterAutospacing="0"/>
        <w:jc w:val="both"/>
        <w:rPr>
          <w:lang w:val="uk-UA" w:eastAsia="uk-UA"/>
        </w:rPr>
      </w:pPr>
      <w:bookmarkStart w:id="3" w:name="n511"/>
      <w:bookmarkEnd w:id="3"/>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6875" w:rsidRPr="004A4E8F" w:rsidRDefault="000F6875" w:rsidP="000F6875">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rsidR="000F6875" w:rsidRPr="00F60FBF" w:rsidRDefault="000F6875" w:rsidP="000F6875">
      <w:pPr>
        <w:pStyle w:val="rvps2"/>
        <w:spacing w:before="0" w:beforeAutospacing="0" w:after="0" w:afterAutospacing="0"/>
        <w:jc w:val="both"/>
        <w:rPr>
          <w:lang w:val="uk-UA" w:eastAsia="uk-UA"/>
        </w:rPr>
      </w:pPr>
      <w:bookmarkStart w:id="4" w:name="n512"/>
      <w:bookmarkEnd w:id="4"/>
      <w:r w:rsidRPr="00F60FBF">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F6875" w:rsidRPr="00F60FBF" w:rsidRDefault="000F6875" w:rsidP="000F6875">
      <w:pPr>
        <w:pStyle w:val="rvps2"/>
        <w:spacing w:before="0" w:beforeAutospacing="0" w:after="0" w:afterAutospacing="0"/>
        <w:jc w:val="both"/>
        <w:rPr>
          <w:lang w:val="uk-UA" w:eastAsia="uk-UA"/>
        </w:rPr>
      </w:pPr>
      <w:bookmarkStart w:id="5" w:name="n513"/>
      <w:bookmarkEnd w:id="5"/>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6875" w:rsidRPr="00F60FBF" w:rsidRDefault="000F6875" w:rsidP="000F6875">
      <w:pPr>
        <w:pStyle w:val="rvps2"/>
        <w:spacing w:before="0" w:beforeAutospacing="0" w:after="0" w:afterAutospacing="0"/>
        <w:jc w:val="both"/>
        <w:rPr>
          <w:lang w:val="uk-UA" w:eastAsia="uk-UA"/>
        </w:rPr>
      </w:pPr>
      <w:bookmarkStart w:id="6" w:name="n514"/>
      <w:bookmarkEnd w:id="6"/>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F6875" w:rsidRPr="00F60FBF" w:rsidRDefault="000F6875" w:rsidP="000F6875">
      <w:pPr>
        <w:pStyle w:val="rvps2"/>
        <w:spacing w:before="0" w:beforeAutospacing="0" w:after="0" w:afterAutospacing="0"/>
        <w:jc w:val="both"/>
        <w:rPr>
          <w:lang w:val="uk-UA" w:eastAsia="uk-UA"/>
        </w:rPr>
      </w:pPr>
      <w:bookmarkStart w:id="7" w:name="n515"/>
      <w:bookmarkEnd w:id="7"/>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F6875" w:rsidRPr="00F60FBF" w:rsidRDefault="000F6875" w:rsidP="000F6875">
      <w:pPr>
        <w:pStyle w:val="rvps2"/>
        <w:spacing w:before="0" w:beforeAutospacing="0" w:after="0" w:afterAutospacing="0"/>
        <w:jc w:val="both"/>
        <w:rPr>
          <w:lang w:val="uk-UA" w:eastAsia="uk-UA"/>
        </w:rPr>
      </w:pPr>
      <w:bookmarkStart w:id="8" w:name="n516"/>
      <w:bookmarkEnd w:id="8"/>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6875" w:rsidRPr="00F60FBF" w:rsidRDefault="000F6875" w:rsidP="000F6875">
      <w:pPr>
        <w:pStyle w:val="rvps2"/>
        <w:spacing w:before="0" w:beforeAutospacing="0" w:after="0" w:afterAutospacing="0"/>
        <w:jc w:val="both"/>
        <w:rPr>
          <w:lang w:val="uk-UA" w:eastAsia="uk-UA"/>
        </w:rPr>
      </w:pPr>
      <w:bookmarkStart w:id="9" w:name="n517"/>
      <w:bookmarkEnd w:id="9"/>
      <w:r w:rsidRPr="00F60FBF">
        <w:rPr>
          <w:lang w:val="uk-UA" w:eastAsia="uk-UA"/>
        </w:rPr>
        <w:t>8) зміни умов у зв</w:t>
      </w:r>
      <w:r>
        <w:rPr>
          <w:lang w:val="uk-UA" w:eastAsia="uk-UA"/>
        </w:rPr>
        <w:t xml:space="preserve">’язку із застосуванням положень </w:t>
      </w:r>
      <w:hyperlink r:id="rId7" w:anchor="n1778" w:tgtFrame="_blank" w:history="1">
        <w:r w:rsidRPr="00107822">
          <w:rPr>
            <w:rStyle w:val="a6"/>
            <w:lang w:val="uk-UA" w:eastAsia="uk-UA"/>
          </w:rPr>
          <w:t>частини шостої</w:t>
        </w:r>
      </w:hyperlink>
      <w:r w:rsidRPr="00107822">
        <w:rPr>
          <w:lang w:val="uk-UA" w:eastAsia="uk-UA"/>
        </w:rPr>
        <w:t xml:space="preserve"> </w:t>
      </w:r>
      <w:r w:rsidRPr="00F60FBF">
        <w:rPr>
          <w:lang w:val="uk-UA" w:eastAsia="uk-UA"/>
        </w:rPr>
        <w:t>статті 41 Закону.</w:t>
      </w:r>
    </w:p>
    <w:p w:rsidR="000F6875" w:rsidRPr="00107822" w:rsidRDefault="000F6875" w:rsidP="000F6875">
      <w:pPr>
        <w:pStyle w:val="rvps2"/>
        <w:spacing w:before="0" w:beforeAutospacing="0" w:after="0" w:afterAutospacing="0"/>
        <w:jc w:val="both"/>
        <w:rPr>
          <w:lang w:val="uk-UA" w:eastAsia="uk-UA"/>
        </w:rPr>
      </w:pPr>
      <w:bookmarkStart w:id="10" w:name="n518"/>
      <w:bookmarkEnd w:id="10"/>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Pr>
          <w:lang w:val="uk-UA" w:eastAsia="uk-UA"/>
        </w:rPr>
        <w:t xml:space="preserve">о закупівлю відповідно до вимог </w:t>
      </w:r>
      <w:hyperlink r:id="rId8" w:tgtFrame="_blank" w:history="1">
        <w:r w:rsidRPr="00107822">
          <w:rPr>
            <w:rStyle w:val="a6"/>
            <w:lang w:val="uk-UA" w:eastAsia="uk-UA"/>
          </w:rPr>
          <w:t>Закону</w:t>
        </w:r>
      </w:hyperlink>
      <w:r>
        <w:rPr>
          <w:lang w:val="uk-UA" w:eastAsia="uk-UA"/>
        </w:rPr>
        <w:t xml:space="preserve"> </w:t>
      </w:r>
      <w:r w:rsidRPr="00F60FBF">
        <w:rPr>
          <w:lang w:val="uk-UA" w:eastAsia="uk-UA"/>
        </w:rPr>
        <w:t>з урахуванням цих особливостей</w:t>
      </w:r>
      <w:r w:rsidRPr="00252333">
        <w:rPr>
          <w:lang w:eastAsia="uk-UA"/>
        </w:rPr>
        <w:t>;</w:t>
      </w:r>
    </w:p>
    <w:p w:rsidR="000F6875" w:rsidRDefault="000F6875" w:rsidP="000F687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1" w:name="n81"/>
      <w:bookmarkStart w:id="12" w:name="n82"/>
      <w:bookmarkStart w:id="13" w:name="n2102"/>
      <w:bookmarkEnd w:id="11"/>
      <w:bookmarkEnd w:id="12"/>
      <w:bookmarkEnd w:id="13"/>
      <w:r>
        <w:rPr>
          <w:rFonts w:ascii="Times New Roman" w:eastAsia="Times New Roman" w:hAnsi="Times New Roman" w:cs="Times New Roman"/>
          <w:b/>
          <w:bCs/>
          <w:sz w:val="20"/>
          <w:szCs w:val="20"/>
          <w:lang w:eastAsia="ru-RU"/>
        </w:rPr>
        <w:t xml:space="preserve">9. </w:t>
      </w:r>
      <w:r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rsidR="000F6875" w:rsidRPr="00816888" w:rsidRDefault="000F6875" w:rsidP="000F6875">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rsidR="000F6875" w:rsidRPr="00140A73" w:rsidRDefault="000F6875" w:rsidP="000F687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rsidR="000F6875" w:rsidRPr="001005A6" w:rsidRDefault="000F6875" w:rsidP="000F687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Pr="001005A6">
        <w:rPr>
          <w:rFonts w:ascii="Times New Roman" w:eastAsia="Times New Roman" w:hAnsi="Times New Roman" w:cs="Times New Roman"/>
          <w:b/>
          <w:bCs/>
          <w:sz w:val="20"/>
          <w:szCs w:val="20"/>
          <w:lang w:eastAsia="ru-RU"/>
        </w:rPr>
        <w:t>. РЕКВІЗИТИ СТОРІН</w:t>
      </w:r>
    </w:p>
    <w:tbl>
      <w:tblPr>
        <w:tblW w:w="0" w:type="auto"/>
        <w:tblInd w:w="360" w:type="dxa"/>
        <w:tblLook w:val="0000" w:firstRow="0" w:lastRow="0" w:firstColumn="0" w:lastColumn="0" w:noHBand="0" w:noVBand="0"/>
      </w:tblPr>
      <w:tblGrid>
        <w:gridCol w:w="4880"/>
        <w:gridCol w:w="4615"/>
      </w:tblGrid>
      <w:tr w:rsidR="000F6875" w:rsidRPr="001005A6" w:rsidTr="00103116">
        <w:tc>
          <w:tcPr>
            <w:tcW w:w="4880" w:type="dxa"/>
            <w:tcBorders>
              <w:top w:val="nil"/>
              <w:left w:val="nil"/>
              <w:bottom w:val="nil"/>
              <w:right w:val="nil"/>
            </w:tcBorders>
          </w:tcPr>
          <w:p w:rsidR="000F6875" w:rsidRPr="001005A6" w:rsidRDefault="000F6875" w:rsidP="00103116">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rsidR="000F6875" w:rsidRPr="001005A6" w:rsidRDefault="000F6875" w:rsidP="00103116">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rsidR="000F6875" w:rsidRPr="00F92D13" w:rsidRDefault="000F6875" w:rsidP="000F6875">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1</w:t>
      </w:r>
    </w:p>
    <w:p w:rsidR="000F6875" w:rsidRDefault="000F6875" w:rsidP="000F6875">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rsidR="000F6875" w:rsidRDefault="000F6875" w:rsidP="000F6875">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rsidR="000F6875" w:rsidRPr="00F92D13" w:rsidRDefault="000F6875" w:rsidP="000F68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rsidR="000F6875" w:rsidRPr="00B43282" w:rsidRDefault="000F6875" w:rsidP="000F6875">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rsidR="000F6875" w:rsidRPr="00F92D13" w:rsidRDefault="000F6875" w:rsidP="000F6875">
      <w:pPr>
        <w:spacing w:after="0" w:line="240" w:lineRule="auto"/>
        <w:jc w:val="both"/>
        <w:rPr>
          <w:rFonts w:ascii="Times New Roman" w:hAnsi="Times New Roman" w:cs="Times New Roman"/>
          <w:bCs/>
          <w:sz w:val="24"/>
          <w:szCs w:val="24"/>
        </w:rPr>
      </w:pPr>
    </w:p>
    <w:p w:rsidR="000F6875" w:rsidRPr="00F92D13" w:rsidRDefault="000F6875" w:rsidP="000F6875">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3"/>
        <w:tblW w:w="10916" w:type="dxa"/>
        <w:tblInd w:w="-885" w:type="dxa"/>
        <w:tblLayout w:type="fixed"/>
        <w:tblLook w:val="01E0" w:firstRow="1" w:lastRow="1" w:firstColumn="1" w:lastColumn="1" w:noHBand="0" w:noVBand="0"/>
      </w:tblPr>
      <w:tblGrid>
        <w:gridCol w:w="2694"/>
        <w:gridCol w:w="2835"/>
        <w:gridCol w:w="993"/>
        <w:gridCol w:w="1134"/>
        <w:gridCol w:w="1842"/>
        <w:gridCol w:w="1418"/>
      </w:tblGrid>
      <w:tr w:rsidR="000F6875" w:rsidRPr="00F92D13" w:rsidTr="00103116">
        <w:tc>
          <w:tcPr>
            <w:tcW w:w="2694" w:type="dxa"/>
            <w:vAlign w:val="center"/>
          </w:tcPr>
          <w:p w:rsidR="000F6875" w:rsidRPr="00F92D13" w:rsidRDefault="000F6875" w:rsidP="00103116">
            <w:pPr>
              <w:jc w:val="center"/>
              <w:rPr>
                <w:b/>
                <w:sz w:val="18"/>
                <w:szCs w:val="18"/>
                <w:lang w:eastAsia="ru-RU"/>
              </w:rPr>
            </w:pPr>
            <w:r>
              <w:rPr>
                <w:b/>
                <w:sz w:val="18"/>
                <w:szCs w:val="18"/>
                <w:lang w:eastAsia="ru-RU"/>
              </w:rPr>
              <w:t>Назва предмета закупівлі</w:t>
            </w:r>
          </w:p>
        </w:tc>
        <w:tc>
          <w:tcPr>
            <w:tcW w:w="2835" w:type="dxa"/>
            <w:vAlign w:val="center"/>
          </w:tcPr>
          <w:p w:rsidR="000F6875" w:rsidRPr="00F92D13" w:rsidRDefault="000F6875" w:rsidP="00103116">
            <w:pPr>
              <w:jc w:val="center"/>
              <w:rPr>
                <w:b/>
                <w:sz w:val="18"/>
                <w:szCs w:val="18"/>
              </w:rPr>
            </w:pPr>
            <w:r w:rsidRPr="00F92D13">
              <w:rPr>
                <w:b/>
                <w:sz w:val="18"/>
                <w:szCs w:val="18"/>
                <w:lang w:eastAsia="ru-RU"/>
              </w:rPr>
              <w:t>Адрес для поставки</w:t>
            </w:r>
          </w:p>
        </w:tc>
        <w:tc>
          <w:tcPr>
            <w:tcW w:w="993" w:type="dxa"/>
            <w:vAlign w:val="center"/>
          </w:tcPr>
          <w:p w:rsidR="000F6875" w:rsidRPr="00F92D13" w:rsidRDefault="000F6875" w:rsidP="00103116">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rsidR="000F6875" w:rsidRPr="00F92D13" w:rsidRDefault="000F6875" w:rsidP="00103116">
            <w:pPr>
              <w:suppressAutoHyphens/>
              <w:jc w:val="center"/>
              <w:rPr>
                <w:b/>
                <w:sz w:val="18"/>
                <w:szCs w:val="18"/>
                <w:vertAlign w:val="superscript"/>
                <w:lang w:eastAsia="ar-SA"/>
              </w:rPr>
            </w:pPr>
            <w:r w:rsidRPr="00F92D13">
              <w:rPr>
                <w:b/>
                <w:sz w:val="18"/>
                <w:szCs w:val="18"/>
                <w:lang w:eastAsia="ar-SA"/>
              </w:rPr>
              <w:t>Обсяг поставки</w:t>
            </w:r>
          </w:p>
        </w:tc>
        <w:tc>
          <w:tcPr>
            <w:tcW w:w="1842" w:type="dxa"/>
            <w:vAlign w:val="center"/>
          </w:tcPr>
          <w:p w:rsidR="000F6875" w:rsidRPr="00F92D13" w:rsidRDefault="000F6875" w:rsidP="00103116">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418" w:type="dxa"/>
            <w:vAlign w:val="center"/>
          </w:tcPr>
          <w:p w:rsidR="000F6875" w:rsidRPr="00F92D13" w:rsidRDefault="000F6875" w:rsidP="00103116">
            <w:pPr>
              <w:suppressAutoHyphens/>
              <w:jc w:val="center"/>
              <w:rPr>
                <w:b/>
                <w:sz w:val="18"/>
                <w:szCs w:val="18"/>
                <w:lang w:eastAsia="ar-SA"/>
              </w:rPr>
            </w:pPr>
            <w:r w:rsidRPr="00F92D13">
              <w:rPr>
                <w:b/>
                <w:sz w:val="18"/>
                <w:szCs w:val="18"/>
                <w:lang w:eastAsia="ar-SA"/>
              </w:rPr>
              <w:t>Загальна ціна без ПДВ (грн.)</w:t>
            </w:r>
          </w:p>
        </w:tc>
      </w:tr>
      <w:tr w:rsidR="000F6875" w:rsidRPr="00F92D13" w:rsidTr="00103116">
        <w:tc>
          <w:tcPr>
            <w:tcW w:w="2694" w:type="dxa"/>
            <w:vAlign w:val="center"/>
          </w:tcPr>
          <w:p w:rsidR="000F6875" w:rsidRPr="00426FCD" w:rsidRDefault="000F6875" w:rsidP="00103116">
            <w:pPr>
              <w:jc w:val="center"/>
            </w:pPr>
            <w:r w:rsidRPr="009C4742">
              <w:t>Дрова (деревина паливна), код ДК 021-2015 (CPV) 03410000-7 - Деревина (03413000-8 - Паливна деревина</w:t>
            </w:r>
            <w:r>
              <w:t>)</w:t>
            </w:r>
          </w:p>
        </w:tc>
        <w:tc>
          <w:tcPr>
            <w:tcW w:w="2835" w:type="dxa"/>
            <w:vAlign w:val="center"/>
          </w:tcPr>
          <w:p w:rsidR="000F6875" w:rsidRPr="00BA56AF" w:rsidRDefault="000F6875" w:rsidP="00103116">
            <w:pPr>
              <w:jc w:val="center"/>
            </w:pPr>
            <w:r w:rsidRPr="000F182F">
              <w:t>60100, Україна, Чернівецька область, смт. Кельменці, Дністровський район, вулиця О. Паламаря, будинок 32</w:t>
            </w:r>
          </w:p>
        </w:tc>
        <w:tc>
          <w:tcPr>
            <w:tcW w:w="993" w:type="dxa"/>
            <w:vAlign w:val="center"/>
          </w:tcPr>
          <w:p w:rsidR="000F6875" w:rsidRDefault="000F6875" w:rsidP="00103116">
            <w:pPr>
              <w:jc w:val="center"/>
              <w:rPr>
                <w:rFonts w:eastAsia="Calibri"/>
                <w:lang w:val="ru-RU"/>
              </w:rPr>
            </w:pPr>
            <w:r>
              <w:rPr>
                <w:rFonts w:eastAsia="Calibri"/>
                <w:sz w:val="22"/>
                <w:szCs w:val="22"/>
                <w:lang w:val="ru-RU"/>
              </w:rPr>
              <w:t>м</w:t>
            </w:r>
            <w:r w:rsidRPr="00B43282">
              <w:rPr>
                <w:rFonts w:eastAsia="Calibri"/>
                <w:sz w:val="22"/>
                <w:szCs w:val="22"/>
                <w:lang w:val="ru-RU"/>
              </w:rPr>
              <w:t>етр ³</w:t>
            </w:r>
          </w:p>
        </w:tc>
        <w:tc>
          <w:tcPr>
            <w:tcW w:w="1134" w:type="dxa"/>
            <w:vAlign w:val="center"/>
          </w:tcPr>
          <w:p w:rsidR="000F6875" w:rsidRPr="00B43282" w:rsidRDefault="000F6875" w:rsidP="00103116">
            <w:pPr>
              <w:suppressAutoHyphens/>
              <w:jc w:val="center"/>
              <w:rPr>
                <w:lang w:eastAsia="ar-SA"/>
              </w:rPr>
            </w:pPr>
            <w:r>
              <w:rPr>
                <w:lang w:eastAsia="ar-SA"/>
              </w:rPr>
              <w:t>16</w:t>
            </w:r>
          </w:p>
        </w:tc>
        <w:tc>
          <w:tcPr>
            <w:tcW w:w="1842" w:type="dxa"/>
            <w:vAlign w:val="center"/>
          </w:tcPr>
          <w:p w:rsidR="000F6875" w:rsidRPr="00F92D13" w:rsidRDefault="000F6875" w:rsidP="00103116">
            <w:pPr>
              <w:suppressAutoHyphens/>
              <w:jc w:val="center"/>
              <w:rPr>
                <w:lang w:eastAsia="ar-SA"/>
              </w:rPr>
            </w:pPr>
          </w:p>
        </w:tc>
        <w:tc>
          <w:tcPr>
            <w:tcW w:w="1418" w:type="dxa"/>
            <w:vAlign w:val="center"/>
          </w:tcPr>
          <w:p w:rsidR="000F6875" w:rsidRPr="00F92D13" w:rsidRDefault="000F6875" w:rsidP="00103116">
            <w:pPr>
              <w:suppressAutoHyphens/>
              <w:jc w:val="center"/>
              <w:rPr>
                <w:lang w:eastAsia="ar-SA"/>
              </w:rPr>
            </w:pPr>
          </w:p>
        </w:tc>
      </w:tr>
      <w:tr w:rsidR="000F6875" w:rsidRPr="00F92D13" w:rsidTr="00103116">
        <w:tc>
          <w:tcPr>
            <w:tcW w:w="2694" w:type="dxa"/>
            <w:vAlign w:val="center"/>
          </w:tcPr>
          <w:p w:rsidR="000F6875" w:rsidRPr="00BA56AF" w:rsidRDefault="000F6875" w:rsidP="00103116">
            <w:pPr>
              <w:jc w:val="center"/>
            </w:pPr>
            <w:r w:rsidRPr="00426FCD">
              <w:t>Дрова (деревина паливна), код ДК 021-2015 (CPV) 03410000-7 - Деревина (03413000-8 - Паливна деревина)</w:t>
            </w:r>
          </w:p>
        </w:tc>
        <w:tc>
          <w:tcPr>
            <w:tcW w:w="2835" w:type="dxa"/>
            <w:vAlign w:val="center"/>
          </w:tcPr>
          <w:p w:rsidR="000F6875" w:rsidRPr="009C4742" w:rsidRDefault="000F6875" w:rsidP="00103116">
            <w:pPr>
              <w:jc w:val="center"/>
            </w:pPr>
            <w:r w:rsidRPr="000F182F">
              <w:t>60200, Україна, Чернівецька область, місто Сокиряни, Дністровський район, вулиця Центральна, будинок 67</w:t>
            </w:r>
          </w:p>
        </w:tc>
        <w:tc>
          <w:tcPr>
            <w:tcW w:w="993" w:type="dxa"/>
            <w:vAlign w:val="center"/>
          </w:tcPr>
          <w:p w:rsidR="000F6875" w:rsidRPr="009C4742" w:rsidRDefault="000F6875" w:rsidP="00103116">
            <w:pPr>
              <w:jc w:val="center"/>
              <w:rPr>
                <w:rFonts w:eastAsia="Calibri"/>
                <w:lang w:val="ru-RU"/>
              </w:rPr>
            </w:pPr>
            <w:r w:rsidRPr="009C4742">
              <w:rPr>
                <w:rFonts w:eastAsia="Calibri"/>
                <w:lang w:val="ru-RU"/>
              </w:rPr>
              <w:t>метр ³</w:t>
            </w:r>
          </w:p>
        </w:tc>
        <w:tc>
          <w:tcPr>
            <w:tcW w:w="1134" w:type="dxa"/>
            <w:vAlign w:val="center"/>
          </w:tcPr>
          <w:p w:rsidR="000F6875" w:rsidRPr="009C4742" w:rsidRDefault="000F6875" w:rsidP="00103116">
            <w:pPr>
              <w:suppressAutoHyphens/>
              <w:jc w:val="center"/>
              <w:rPr>
                <w:lang w:eastAsia="ar-SA"/>
              </w:rPr>
            </w:pPr>
            <w:r>
              <w:rPr>
                <w:lang w:eastAsia="ar-SA"/>
              </w:rPr>
              <w:t>30</w:t>
            </w:r>
          </w:p>
        </w:tc>
        <w:tc>
          <w:tcPr>
            <w:tcW w:w="1842" w:type="dxa"/>
            <w:vAlign w:val="center"/>
          </w:tcPr>
          <w:p w:rsidR="000F6875" w:rsidRPr="00F92D13" w:rsidRDefault="000F6875" w:rsidP="00103116">
            <w:pPr>
              <w:suppressAutoHyphens/>
              <w:jc w:val="center"/>
              <w:rPr>
                <w:lang w:eastAsia="ar-SA"/>
              </w:rPr>
            </w:pPr>
          </w:p>
        </w:tc>
        <w:tc>
          <w:tcPr>
            <w:tcW w:w="1418" w:type="dxa"/>
            <w:vAlign w:val="center"/>
          </w:tcPr>
          <w:p w:rsidR="000F6875" w:rsidRPr="00F92D13" w:rsidRDefault="000F6875" w:rsidP="00103116">
            <w:pPr>
              <w:suppressAutoHyphens/>
              <w:jc w:val="center"/>
              <w:rPr>
                <w:lang w:eastAsia="ar-SA"/>
              </w:rPr>
            </w:pPr>
          </w:p>
        </w:tc>
      </w:tr>
      <w:tr w:rsidR="000F6875" w:rsidRPr="00F92D13" w:rsidTr="00103116">
        <w:tc>
          <w:tcPr>
            <w:tcW w:w="9498" w:type="dxa"/>
            <w:gridSpan w:val="5"/>
          </w:tcPr>
          <w:p w:rsidR="000F6875" w:rsidRPr="00F92D13" w:rsidRDefault="000F6875" w:rsidP="00103116">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418" w:type="dxa"/>
          </w:tcPr>
          <w:p w:rsidR="000F6875" w:rsidRPr="00F92D13" w:rsidRDefault="000F6875" w:rsidP="00103116">
            <w:pPr>
              <w:widowControl w:val="0"/>
              <w:suppressAutoHyphens/>
              <w:autoSpaceDE w:val="0"/>
              <w:autoSpaceDN w:val="0"/>
              <w:adjustRightInd w:val="0"/>
              <w:jc w:val="both"/>
              <w:rPr>
                <w:b/>
                <w:lang w:eastAsia="ar-SA"/>
              </w:rPr>
            </w:pPr>
          </w:p>
        </w:tc>
      </w:tr>
      <w:tr w:rsidR="000F6875" w:rsidRPr="00F92D13" w:rsidTr="00103116">
        <w:tc>
          <w:tcPr>
            <w:tcW w:w="9498" w:type="dxa"/>
            <w:gridSpan w:val="5"/>
          </w:tcPr>
          <w:p w:rsidR="000F6875" w:rsidRPr="00F92D13" w:rsidRDefault="000F6875" w:rsidP="00103116">
            <w:pPr>
              <w:widowControl w:val="0"/>
              <w:suppressAutoHyphens/>
              <w:autoSpaceDE w:val="0"/>
              <w:autoSpaceDN w:val="0"/>
              <w:adjustRightInd w:val="0"/>
              <w:jc w:val="both"/>
              <w:rPr>
                <w:b/>
                <w:lang w:eastAsia="ar-SA"/>
              </w:rPr>
            </w:pPr>
            <w:r w:rsidRPr="00F92D13">
              <w:rPr>
                <w:b/>
                <w:lang w:eastAsia="ar-SA"/>
              </w:rPr>
              <w:t>ПДВ, грн.</w:t>
            </w:r>
          </w:p>
        </w:tc>
        <w:tc>
          <w:tcPr>
            <w:tcW w:w="1418" w:type="dxa"/>
          </w:tcPr>
          <w:p w:rsidR="000F6875" w:rsidRPr="00F92D13" w:rsidRDefault="000F6875" w:rsidP="00103116">
            <w:pPr>
              <w:widowControl w:val="0"/>
              <w:suppressAutoHyphens/>
              <w:autoSpaceDE w:val="0"/>
              <w:autoSpaceDN w:val="0"/>
              <w:adjustRightInd w:val="0"/>
              <w:jc w:val="both"/>
              <w:rPr>
                <w:b/>
                <w:lang w:eastAsia="ar-SA"/>
              </w:rPr>
            </w:pPr>
          </w:p>
        </w:tc>
      </w:tr>
      <w:tr w:rsidR="000F6875" w:rsidRPr="00F92D13" w:rsidTr="00103116">
        <w:tc>
          <w:tcPr>
            <w:tcW w:w="9498" w:type="dxa"/>
            <w:gridSpan w:val="5"/>
          </w:tcPr>
          <w:p w:rsidR="000F6875" w:rsidRPr="00F92D13" w:rsidRDefault="000F6875" w:rsidP="00103116">
            <w:pPr>
              <w:suppressAutoHyphens/>
              <w:rPr>
                <w:b/>
                <w:lang w:eastAsia="ar-SA"/>
              </w:rPr>
            </w:pPr>
            <w:r w:rsidRPr="00F92D13">
              <w:rPr>
                <w:b/>
                <w:lang w:eastAsia="ar-SA"/>
              </w:rPr>
              <w:t>Загальна вартість з ПДВ, грн.</w:t>
            </w:r>
          </w:p>
        </w:tc>
        <w:tc>
          <w:tcPr>
            <w:tcW w:w="1418" w:type="dxa"/>
          </w:tcPr>
          <w:p w:rsidR="000F6875" w:rsidRPr="00F92D13" w:rsidRDefault="000F6875" w:rsidP="00103116">
            <w:pPr>
              <w:suppressAutoHyphens/>
              <w:rPr>
                <w:b/>
                <w:lang w:eastAsia="ar-SA"/>
              </w:rPr>
            </w:pPr>
          </w:p>
        </w:tc>
      </w:tr>
    </w:tbl>
    <w:p w:rsidR="000F6875" w:rsidRPr="00F92D13" w:rsidRDefault="000F6875" w:rsidP="000F6875">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0F6875" w:rsidRPr="00F92D13" w:rsidTr="00103116">
        <w:tc>
          <w:tcPr>
            <w:tcW w:w="5328" w:type="dxa"/>
          </w:tcPr>
          <w:p w:rsidR="000F6875" w:rsidRPr="00F92D13" w:rsidRDefault="000F6875" w:rsidP="00103116">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Pr>
          <w:p w:rsidR="000F6875" w:rsidRPr="00F92D13" w:rsidRDefault="000F6875" w:rsidP="00103116">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rsidR="000F6875" w:rsidRPr="007966E9" w:rsidRDefault="000F6875" w:rsidP="000F6875">
      <w:pPr>
        <w:spacing w:after="0" w:line="240" w:lineRule="auto"/>
        <w:rPr>
          <w:rFonts w:ascii="Times New Roman" w:hAnsi="Times New Roman" w:cs="Times New Roman"/>
          <w:sz w:val="24"/>
          <w:szCs w:val="24"/>
        </w:rPr>
      </w:pPr>
    </w:p>
    <w:p w:rsidR="00A40C94" w:rsidRPr="000F6875" w:rsidRDefault="00330478" w:rsidP="000F6875">
      <w:bookmarkStart w:id="14" w:name="_GoBack"/>
      <w:bookmarkEnd w:id="14"/>
    </w:p>
    <w:sectPr w:rsidR="00A40C94" w:rsidRPr="000F6875"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78" w:rsidRDefault="00330478">
      <w:pPr>
        <w:spacing w:after="0" w:line="240" w:lineRule="auto"/>
      </w:pPr>
      <w:r>
        <w:separator/>
      </w:r>
    </w:p>
  </w:endnote>
  <w:endnote w:type="continuationSeparator" w:id="0">
    <w:p w:rsidR="00330478" w:rsidRDefault="0033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39" w:rsidRDefault="003304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78" w:rsidRDefault="00330478">
      <w:pPr>
        <w:spacing w:after="0" w:line="240" w:lineRule="auto"/>
      </w:pPr>
      <w:r>
        <w:separator/>
      </w:r>
    </w:p>
  </w:footnote>
  <w:footnote w:type="continuationSeparator" w:id="0">
    <w:p w:rsidR="00330478" w:rsidRDefault="00330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24"/>
    <w:rsid w:val="000F6875"/>
    <w:rsid w:val="00300693"/>
    <w:rsid w:val="00306D02"/>
    <w:rsid w:val="00330478"/>
    <w:rsid w:val="00436524"/>
    <w:rsid w:val="00793CC7"/>
    <w:rsid w:val="00AF051A"/>
    <w:rsid w:val="00B94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9272</Words>
  <Characters>5286</Characters>
  <Application>Microsoft Office Word</Application>
  <DocSecurity>0</DocSecurity>
  <Lines>44</Lines>
  <Paragraphs>29</Paragraphs>
  <ScaleCrop>false</ScaleCrop>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4</cp:revision>
  <dcterms:created xsi:type="dcterms:W3CDTF">2023-07-11T08:31:00Z</dcterms:created>
  <dcterms:modified xsi:type="dcterms:W3CDTF">2023-07-12T09:55:00Z</dcterms:modified>
</cp:coreProperties>
</file>