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24" w:rsidRDefault="00072C24" w:rsidP="00072C2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72C24" w:rsidRDefault="00072C24" w:rsidP="00072C2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 </w:t>
      </w:r>
    </w:p>
    <w:p w:rsidR="00072C24" w:rsidRDefault="00072C24" w:rsidP="00072C2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559"/>
        <w:gridCol w:w="3684"/>
        <w:gridCol w:w="5376"/>
      </w:tblGrid>
      <w:tr w:rsidR="00072C24" w:rsidTr="00574510">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2C24" w:rsidRDefault="00072C24" w:rsidP="0057451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2C24" w:rsidRDefault="00072C24" w:rsidP="0057451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2C24" w:rsidRDefault="00072C24" w:rsidP="0057451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072C24" w:rsidTr="00574510">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624AA1" w:rsidRDefault="00072C24" w:rsidP="00574510">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72C24" w:rsidRPr="00624AA1" w:rsidRDefault="00072C24" w:rsidP="00574510">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не менше 1 копії договору у повному обсязі,</w:t>
            </w:r>
          </w:p>
          <w:p w:rsidR="00072C24" w:rsidRPr="00624AA1" w:rsidRDefault="00072C24" w:rsidP="00574510">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xml:space="preserve">- лист відгук від контрагента про належне виконання наданого договору. </w:t>
            </w:r>
          </w:p>
          <w:p w:rsidR="00072C24" w:rsidRPr="00624AA1" w:rsidRDefault="00072C24" w:rsidP="00574510">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b/>
                <w:i/>
                <w:sz w:val="24"/>
                <w:szCs w:val="24"/>
              </w:rPr>
              <w:t xml:space="preserve">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 </w:t>
            </w:r>
          </w:p>
          <w:p w:rsidR="00072C24" w:rsidRPr="00624AA1" w:rsidRDefault="00072C24" w:rsidP="00574510">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72C24" w:rsidRPr="00624AA1" w:rsidRDefault="00072C24" w:rsidP="00574510">
            <w:pPr>
              <w:spacing w:after="0" w:line="240" w:lineRule="auto"/>
              <w:jc w:val="both"/>
              <w:rPr>
                <w:rFonts w:ascii="Times New Roman" w:eastAsia="Times New Roman" w:hAnsi="Times New Roman" w:cs="Times New Roman"/>
                <w:i/>
                <w:sz w:val="24"/>
                <w:szCs w:val="24"/>
              </w:rPr>
            </w:pPr>
            <w:r w:rsidRPr="00624AA1">
              <w:rPr>
                <w:rFonts w:ascii="Times New Roman" w:eastAsia="Times New Roman" w:hAnsi="Times New Roman" w:cs="Times New Roman"/>
                <w:i/>
                <w:sz w:val="24"/>
                <w:szCs w:val="24"/>
              </w:rPr>
              <w:t>Документ/ти може/можуть надаватися про частково виконаний  договір, дія якого не закінчена</w:t>
            </w:r>
            <w:r w:rsidRPr="00624AA1">
              <w:rPr>
                <w:rFonts w:ascii="Times New Roman" w:eastAsia="Times New Roman" w:hAnsi="Times New Roman" w:cs="Times New Roman"/>
                <w:sz w:val="24"/>
                <w:szCs w:val="24"/>
              </w:rPr>
              <w:t>.</w:t>
            </w:r>
          </w:p>
          <w:p w:rsidR="00072C24" w:rsidRPr="00624AA1" w:rsidRDefault="00072C24" w:rsidP="00574510">
            <w:pPr>
              <w:spacing w:after="0" w:line="240" w:lineRule="auto"/>
              <w:jc w:val="both"/>
              <w:rPr>
                <w:rFonts w:ascii="Times New Roman" w:eastAsia="Times New Roman" w:hAnsi="Times New Roman" w:cs="Times New Roman"/>
                <w:sz w:val="24"/>
                <w:szCs w:val="24"/>
              </w:rPr>
            </w:pPr>
          </w:p>
        </w:tc>
      </w:tr>
    </w:tbl>
    <w:p w:rsidR="00072C24" w:rsidRDefault="00072C24" w:rsidP="00072C24">
      <w:pPr>
        <w:shd w:val="clear" w:color="auto" w:fill="FFFFFF"/>
        <w:spacing w:after="0" w:line="240" w:lineRule="auto"/>
        <w:jc w:val="both"/>
        <w:rPr>
          <w:rFonts w:ascii="Times New Roman" w:eastAsia="Times New Roman" w:hAnsi="Times New Roman" w:cs="Times New Roman"/>
          <w:color w:val="000000"/>
          <w:sz w:val="24"/>
          <w:szCs w:val="24"/>
        </w:rPr>
      </w:pPr>
    </w:p>
    <w:p w:rsidR="00072C24" w:rsidRDefault="00072C24" w:rsidP="00072C24">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2C24" w:rsidRDefault="00072C24" w:rsidP="00072C24">
      <w:pPr>
        <w:spacing w:after="0" w:line="240" w:lineRule="auto"/>
        <w:jc w:val="both"/>
        <w:rPr>
          <w:rFonts w:ascii="Times New Roman" w:eastAsia="Times New Roman" w:hAnsi="Times New Roman" w:cs="Times New Roman"/>
          <w:b/>
          <w:color w:val="000000"/>
          <w:sz w:val="20"/>
          <w:szCs w:val="20"/>
        </w:rPr>
      </w:pPr>
      <w:r w:rsidRPr="00F735F1">
        <w:rPr>
          <w:rFonts w:ascii="Times New Roman" w:eastAsia="Times New Roman" w:hAnsi="Times New Roman" w:cs="Times New Roman"/>
          <w:b/>
          <w:sz w:val="20"/>
          <w:szCs w:val="20"/>
        </w:rPr>
        <w:t xml:space="preserve">2. </w:t>
      </w:r>
      <w:r w:rsidRPr="00F735F1">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72C24" w:rsidRPr="00F735F1" w:rsidRDefault="00072C24" w:rsidP="00072C24">
      <w:pPr>
        <w:spacing w:after="0" w:line="240" w:lineRule="auto"/>
        <w:jc w:val="both"/>
        <w:rPr>
          <w:rFonts w:ascii="Times New Roman" w:eastAsia="Times New Roman" w:hAnsi="Times New Roman" w:cs="Times New Roman"/>
          <w:b/>
          <w:color w:val="000000"/>
          <w:sz w:val="20"/>
          <w:szCs w:val="20"/>
        </w:rPr>
      </w:pPr>
    </w:p>
    <w:p w:rsidR="00072C24" w:rsidRPr="00F735F1" w:rsidRDefault="00072C24" w:rsidP="00072C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735F1">
        <w:rPr>
          <w:rFonts w:ascii="Times New Roman" w:eastAsia="Times New Roman" w:hAnsi="Times New Roman" w:cs="Times New Roman"/>
          <w:sz w:val="20"/>
          <w:szCs w:val="20"/>
        </w:rPr>
        <w:t>закупівель</w:t>
      </w:r>
      <w:proofErr w:type="spellEnd"/>
      <w:r w:rsidRPr="00F735F1">
        <w:rPr>
          <w:rFonts w:ascii="Times New Roman" w:eastAsia="Times New Roman" w:hAnsi="Times New Roman" w:cs="Times New Roman"/>
          <w:sz w:val="20"/>
          <w:szCs w:val="20"/>
        </w:rPr>
        <w:t xml:space="preserve"> під час подання тендерної пропозиції.</w:t>
      </w:r>
    </w:p>
    <w:p w:rsidR="00072C24" w:rsidRPr="00F735F1" w:rsidRDefault="00072C24" w:rsidP="00072C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35F1">
        <w:rPr>
          <w:rFonts w:ascii="Times New Roman" w:eastAsia="Times New Roman" w:hAnsi="Times New Roman" w:cs="Times New Roman"/>
          <w:sz w:val="20"/>
          <w:szCs w:val="20"/>
        </w:rPr>
        <w:t>закупівель</w:t>
      </w:r>
      <w:proofErr w:type="spellEnd"/>
      <w:r w:rsidRPr="00F735F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72C24" w:rsidRPr="00F735F1" w:rsidRDefault="00072C24" w:rsidP="00072C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72C24" w:rsidRPr="00F735F1" w:rsidRDefault="00072C24" w:rsidP="00072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t xml:space="preserve">3. </w:t>
      </w:r>
      <w:r w:rsidRPr="00F735F1">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72C24" w:rsidRPr="00F735F1" w:rsidRDefault="00072C24" w:rsidP="00072C24">
      <w:pPr>
        <w:spacing w:after="450" w:line="240" w:lineRule="auto"/>
        <w:jc w:val="both"/>
        <w:rPr>
          <w:rFonts w:ascii="Times New Roman" w:eastAsia="Times New Roman" w:hAnsi="Times New Roman" w:cs="Times New Roman"/>
          <w:b/>
          <w:sz w:val="20"/>
          <w:szCs w:val="20"/>
        </w:rPr>
      </w:pPr>
      <w:r w:rsidRPr="00F735F1">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2C24" w:rsidRPr="00F735F1" w:rsidRDefault="00072C24" w:rsidP="00072C24">
      <w:pPr>
        <w:spacing w:after="450" w:line="240" w:lineRule="auto"/>
        <w:jc w:val="both"/>
        <w:rPr>
          <w:rFonts w:ascii="Times New Roman" w:eastAsia="Times New Roman" w:hAnsi="Times New Roman" w:cs="Times New Roman"/>
          <w:color w:val="000000"/>
          <w:sz w:val="20"/>
          <w:szCs w:val="20"/>
        </w:rPr>
      </w:pPr>
      <w:r w:rsidRPr="00C04F81">
        <w:rPr>
          <w:rFonts w:ascii="Times New Roman" w:eastAsia="Times New Roman" w:hAnsi="Times New Roman" w:cs="Times New Roman"/>
          <w:b/>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04F81">
        <w:rPr>
          <w:rFonts w:ascii="Times New Roman" w:eastAsia="Times New Roman" w:hAnsi="Times New Roman" w:cs="Times New Roman"/>
          <w:b/>
          <w:sz w:val="20"/>
          <w:szCs w:val="20"/>
        </w:rPr>
        <w:t>закупівель</w:t>
      </w:r>
      <w:proofErr w:type="spellEnd"/>
      <w:r w:rsidRPr="00C04F81">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4F81">
        <w:rPr>
          <w:rFonts w:ascii="Times New Roman" w:eastAsia="Times New Roman" w:hAnsi="Times New Roman" w:cs="Times New Roman"/>
          <w:b/>
          <w:sz w:val="20"/>
          <w:szCs w:val="20"/>
        </w:rPr>
        <w:t>закупівель</w:t>
      </w:r>
      <w:proofErr w:type="spellEnd"/>
      <w:r w:rsidRPr="00C04F81">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072C24" w:rsidRPr="00F735F1" w:rsidRDefault="00072C24" w:rsidP="00072C24">
      <w:pPr>
        <w:spacing w:after="0" w:line="240" w:lineRule="auto"/>
        <w:rPr>
          <w:rFonts w:ascii="Times New Roman" w:eastAsia="Times New Roman" w:hAnsi="Times New Roman" w:cs="Times New Roman"/>
          <w:b/>
          <w:color w:val="000000"/>
          <w:sz w:val="20"/>
          <w:szCs w:val="20"/>
        </w:rPr>
      </w:pPr>
      <w:r w:rsidRPr="00F735F1">
        <w:rPr>
          <w:rFonts w:ascii="Times New Roman" w:eastAsia="Times New Roman" w:hAnsi="Times New Roman" w:cs="Times New Roman"/>
          <w:color w:val="000000"/>
          <w:sz w:val="20"/>
          <w:szCs w:val="20"/>
        </w:rPr>
        <w:t> </w:t>
      </w:r>
      <w:r w:rsidRPr="00F735F1">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72C24" w:rsidRPr="00F735F1" w:rsidTr="005745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w:t>
            </w:r>
          </w:p>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sz w:val="20"/>
                <w:szCs w:val="20"/>
              </w:rPr>
              <w:t>з</w:t>
            </w:r>
            <w:r w:rsidRPr="00F735F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Вимоги статті 17 Закону</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72C24" w:rsidRPr="00F735F1" w:rsidTr="005745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735F1">
              <w:rPr>
                <w:rFonts w:ascii="Times New Roman" w:eastAsia="Times New Roman" w:hAnsi="Times New Roman" w:cs="Times New Roman"/>
                <w:b/>
                <w:sz w:val="20"/>
                <w:szCs w:val="20"/>
              </w:rPr>
              <w:t>я службової (посадової) особи учасника процедури закупівлі</w:t>
            </w:r>
            <w:r w:rsidRPr="00F735F1">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F735F1">
              <w:rPr>
                <w:rFonts w:ascii="Times New Roman" w:eastAsia="Times New Roman" w:hAnsi="Times New Roman" w:cs="Times New Roman"/>
                <w:b/>
                <w:color w:val="000000"/>
                <w:sz w:val="20"/>
                <w:szCs w:val="20"/>
              </w:rPr>
              <w:t>вебресурсі</w:t>
            </w:r>
            <w:proofErr w:type="spellEnd"/>
            <w:r w:rsidRPr="00F735F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72C24" w:rsidRPr="00F735F1" w:rsidTr="005745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735F1">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735F1">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F735F1">
              <w:rPr>
                <w:rFonts w:ascii="Times New Roman" w:eastAsia="Times New Roman" w:hAnsi="Times New Roman" w:cs="Times New Roman"/>
                <w:b/>
                <w:color w:val="000000"/>
                <w:sz w:val="20"/>
                <w:szCs w:val="20"/>
              </w:rPr>
              <w:t xml:space="preserve"> </w:t>
            </w:r>
            <w:r w:rsidRPr="00F735F1">
              <w:rPr>
                <w:rFonts w:ascii="Times New Roman" w:eastAsia="Times New Roman" w:hAnsi="Times New Roman" w:cs="Times New Roman"/>
                <w:color w:val="000000"/>
                <w:sz w:val="20"/>
                <w:szCs w:val="20"/>
              </w:rPr>
              <w:t xml:space="preserve">Документ повинен бути не більше </w:t>
            </w:r>
            <w:proofErr w:type="spellStart"/>
            <w:r w:rsidRPr="00F735F1">
              <w:rPr>
                <w:rFonts w:ascii="Times New Roman" w:eastAsia="Times New Roman" w:hAnsi="Times New Roman" w:cs="Times New Roman"/>
                <w:color w:val="000000"/>
                <w:sz w:val="20"/>
                <w:szCs w:val="20"/>
              </w:rPr>
              <w:t>тридцятиденної</w:t>
            </w:r>
            <w:proofErr w:type="spellEnd"/>
            <w:r w:rsidRPr="00F735F1">
              <w:rPr>
                <w:rFonts w:ascii="Times New Roman" w:eastAsia="Times New Roman" w:hAnsi="Times New Roman" w:cs="Times New Roman"/>
                <w:color w:val="000000"/>
                <w:sz w:val="20"/>
                <w:szCs w:val="20"/>
              </w:rPr>
              <w:t xml:space="preserve"> давнини від дати подання документа. </w:t>
            </w:r>
          </w:p>
        </w:tc>
      </w:tr>
      <w:tr w:rsidR="00072C24" w:rsidRPr="00F735F1" w:rsidTr="0057451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735F1">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2C24" w:rsidRPr="00F735F1" w:rsidRDefault="00072C24" w:rsidP="005745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72C24" w:rsidRPr="00F735F1" w:rsidTr="005745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735F1">
              <w:rPr>
                <w:rFonts w:ascii="Times New Roman" w:eastAsia="Times New Roman" w:hAnsi="Times New Roman" w:cs="Times New Roman"/>
                <w:sz w:val="20"/>
                <w:szCs w:val="20"/>
              </w:rPr>
              <w:t>—</w:t>
            </w:r>
            <w:r w:rsidRPr="00F735F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Довідка в довільній формі</w:t>
            </w:r>
            <w:r w:rsidRPr="00F735F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72C24" w:rsidRPr="00F735F1" w:rsidRDefault="00072C24" w:rsidP="00072C24">
      <w:pPr>
        <w:spacing w:after="0" w:line="240" w:lineRule="auto"/>
        <w:rPr>
          <w:rFonts w:ascii="Times New Roman" w:eastAsia="Times New Roman" w:hAnsi="Times New Roman" w:cs="Times New Roman"/>
          <w:b/>
          <w:color w:val="000000"/>
          <w:sz w:val="20"/>
          <w:szCs w:val="20"/>
        </w:rPr>
      </w:pPr>
    </w:p>
    <w:p w:rsidR="00072C24" w:rsidRPr="00F735F1" w:rsidRDefault="00072C24" w:rsidP="00072C24">
      <w:pPr>
        <w:spacing w:before="240" w:after="0" w:line="240" w:lineRule="auto"/>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F735F1">
        <w:rPr>
          <w:rFonts w:ascii="Times New Roman" w:eastAsia="Times New Roman" w:hAnsi="Times New Roman" w:cs="Times New Roman"/>
          <w:b/>
          <w:sz w:val="20"/>
          <w:szCs w:val="20"/>
        </w:rPr>
        <w:t xml:space="preserve"> — </w:t>
      </w:r>
      <w:r w:rsidRPr="00F735F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72C24" w:rsidRPr="00F735F1" w:rsidTr="005745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w:t>
            </w:r>
          </w:p>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sz w:val="20"/>
                <w:szCs w:val="20"/>
              </w:rPr>
              <w:t>з</w:t>
            </w:r>
            <w:r w:rsidRPr="00F735F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Вимоги статті 17 Закону</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72C24" w:rsidRPr="00F735F1" w:rsidTr="005745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735F1">
              <w:rPr>
                <w:rFonts w:ascii="Times New Roman" w:eastAsia="Times New Roman" w:hAnsi="Times New Roman" w:cs="Times New Roman"/>
                <w:b/>
                <w:color w:val="000000"/>
                <w:sz w:val="20"/>
                <w:szCs w:val="20"/>
              </w:rPr>
              <w:t>вебресурсі</w:t>
            </w:r>
            <w:proofErr w:type="spellEnd"/>
            <w:r w:rsidRPr="00F735F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72C24" w:rsidRPr="00F735F1" w:rsidTr="005745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72C24" w:rsidRPr="00F735F1" w:rsidRDefault="00072C24" w:rsidP="00574510">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735F1">
              <w:rPr>
                <w:rFonts w:ascii="Times New Roman" w:eastAsia="Times New Roman" w:hAnsi="Times New Roman" w:cs="Times New Roman"/>
                <w:color w:val="000000"/>
                <w:sz w:val="20"/>
                <w:szCs w:val="20"/>
              </w:rPr>
              <w:t xml:space="preserve">Документ </w:t>
            </w:r>
            <w:r w:rsidRPr="00F735F1">
              <w:rPr>
                <w:rFonts w:ascii="Times New Roman" w:eastAsia="Times New Roman" w:hAnsi="Times New Roman" w:cs="Times New Roman"/>
                <w:color w:val="000000"/>
                <w:sz w:val="20"/>
                <w:szCs w:val="20"/>
              </w:rPr>
              <w:lastRenderedPageBreak/>
              <w:t xml:space="preserve">повинен бути не більше </w:t>
            </w:r>
            <w:proofErr w:type="spellStart"/>
            <w:r w:rsidRPr="00F735F1">
              <w:rPr>
                <w:rFonts w:ascii="Times New Roman" w:eastAsia="Times New Roman" w:hAnsi="Times New Roman" w:cs="Times New Roman"/>
                <w:color w:val="000000"/>
                <w:sz w:val="20"/>
                <w:szCs w:val="20"/>
              </w:rPr>
              <w:t>тридцятиденної</w:t>
            </w:r>
            <w:proofErr w:type="spellEnd"/>
            <w:r w:rsidRPr="00F735F1">
              <w:rPr>
                <w:rFonts w:ascii="Times New Roman" w:eastAsia="Times New Roman" w:hAnsi="Times New Roman" w:cs="Times New Roman"/>
                <w:color w:val="000000"/>
                <w:sz w:val="20"/>
                <w:szCs w:val="20"/>
              </w:rPr>
              <w:t xml:space="preserve"> давнини від дати подання документа. </w:t>
            </w:r>
          </w:p>
        </w:tc>
      </w:tr>
      <w:tr w:rsidR="00072C24" w:rsidRPr="00F735F1" w:rsidTr="0057451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2C24" w:rsidRPr="00F735F1" w:rsidRDefault="00072C24" w:rsidP="005745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72C24" w:rsidRPr="00F735F1" w:rsidTr="0057451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center"/>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735F1">
              <w:rPr>
                <w:rFonts w:ascii="Times New Roman" w:eastAsia="Times New Roman" w:hAnsi="Times New Roman" w:cs="Times New Roman"/>
                <w:sz w:val="20"/>
                <w:szCs w:val="20"/>
              </w:rPr>
              <w:t>—</w:t>
            </w:r>
            <w:r w:rsidRPr="00F735F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72C24" w:rsidRPr="00F735F1" w:rsidRDefault="00072C24" w:rsidP="00574510">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F735F1" w:rsidRDefault="00072C24" w:rsidP="00574510">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Довідка в довільній формі</w:t>
            </w:r>
            <w:r w:rsidRPr="00F735F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72C24" w:rsidRPr="00F735F1" w:rsidRDefault="00072C24" w:rsidP="00072C24">
      <w:pPr>
        <w:shd w:val="clear" w:color="auto" w:fill="FFFFFF"/>
        <w:spacing w:before="120"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72C24" w:rsidRDefault="00072C24" w:rsidP="00072C24">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072C24" w:rsidTr="00574510">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2C24" w:rsidRDefault="00072C24" w:rsidP="00574510">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072C24" w:rsidTr="00574510">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72C24" w:rsidTr="00574510">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r>
              <w:rPr>
                <w:rFonts w:ascii="Times New Roman" w:eastAsia="Times New Roman" w:hAnsi="Times New Roman" w:cs="Times New Roman"/>
                <w:i/>
                <w:color w:val="000000"/>
                <w:sz w:val="24"/>
                <w:szCs w:val="24"/>
              </w:rPr>
              <w:t>або відповідну Постанову НКРЕКП.</w:t>
            </w:r>
          </w:p>
        </w:tc>
      </w:tr>
      <w:tr w:rsidR="00072C24" w:rsidTr="00574510">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rPr>
              <w:lastRenderedPageBreak/>
              <w:t xml:space="preserve">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072C24" w:rsidRDefault="00072C24" w:rsidP="0057451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72C24" w:rsidTr="00574510">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Pr="00922C72" w:rsidRDefault="00072C24" w:rsidP="00574510">
            <w:pPr>
              <w:spacing w:after="0" w:line="240" w:lineRule="auto"/>
              <w:ind w:left="120" w:right="120" w:hanging="20"/>
              <w:jc w:val="both"/>
              <w:rPr>
                <w:rFonts w:ascii="Times New Roman" w:eastAsia="Times New Roman" w:hAnsi="Times New Roman" w:cs="Times New Roman"/>
                <w:sz w:val="24"/>
                <w:szCs w:val="24"/>
              </w:rPr>
            </w:pPr>
            <w:r w:rsidRPr="00922C72">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922C72">
                <w:rPr>
                  <w:rFonts w:ascii="Times New Roman" w:eastAsia="Times New Roman" w:hAnsi="Times New Roman" w:cs="Times New Roman"/>
                  <w:sz w:val="24"/>
                  <w:szCs w:val="24"/>
                </w:rPr>
                <w:t>Наказом № 794/21</w:t>
              </w:r>
            </w:hyperlink>
            <w:r w:rsidRPr="00922C72">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072C24" w:rsidTr="00574510">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C24" w:rsidRDefault="00072C24" w:rsidP="00574510">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p>
    <w:p w:rsidR="00072C24" w:rsidRDefault="00072C24" w:rsidP="00072C24">
      <w:pPr>
        <w:rPr>
          <w:rFonts w:ascii="Times New Roman" w:eastAsia="Times New Roman" w:hAnsi="Times New Roman" w:cs="Times New Roman"/>
          <w:sz w:val="24"/>
          <w:szCs w:val="24"/>
        </w:rPr>
      </w:pPr>
      <w:bookmarkStart w:id="0" w:name="_GoBack"/>
      <w:bookmarkEnd w:id="0"/>
    </w:p>
    <w:sectPr w:rsidR="00072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24"/>
    <w:rsid w:val="00072C24"/>
    <w:rsid w:val="000A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5D95-9450-4378-A05B-BAEC68AF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C2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2022-11-02T12:25:00Z</dcterms:created>
  <dcterms:modified xsi:type="dcterms:W3CDTF">2022-11-02T12:26:00Z</dcterms:modified>
</cp:coreProperties>
</file>