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40" w:hanging="0"/>
        <w:jc w:val="right"/>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t xml:space="preserve">     </w:t>
      </w:r>
    </w:p>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i w:val="false"/>
          <w:i w:val="false"/>
          <w:iCs w:val="false"/>
          <w:u w:val="none"/>
        </w:rPr>
      </w:pPr>
      <w:r>
        <w:rPr>
          <w:rFonts w:eastAsia="Times New Roman" w:cs="Times New Roman" w:ascii="Times New Roman" w:hAnsi="Times New Roman"/>
          <w:b/>
          <w:i w:val="false"/>
          <w:iCs w:val="false"/>
          <w:color w:val="000000"/>
          <w:sz w:val="20"/>
          <w:szCs w:val="20"/>
          <w:u w:val="none"/>
        </w:rPr>
        <w:t>Додаток  1</w:t>
      </w:r>
    </w:p>
    <w:p>
      <w:pPr>
        <w:pStyle w:val="Normal"/>
        <w:spacing w:lineRule="auto" w:line="240" w:before="0" w:after="0"/>
        <w:ind w:left="5660" w:firstLine="700"/>
        <w:jc w:val="right"/>
        <w:rPr>
          <w:rFonts w:ascii="Times New Roman" w:hAnsi="Times New Roman" w:eastAsia="Times New Roman" w:cs="Times New Roman"/>
          <w:color w:val="000000"/>
          <w:sz w:val="20"/>
          <w:szCs w:val="20"/>
        </w:rPr>
      </w:pPr>
      <w:r>
        <w:rPr>
          <w:rFonts w:eastAsia="Times New Roman" w:cs="Times New Roman" w:ascii="Times New Roman" w:hAnsi="Times New Roman"/>
          <w:i w:val="false"/>
          <w:iCs w:val="false"/>
          <w:color w:val="000000"/>
          <w:sz w:val="20"/>
          <w:szCs w:val="20"/>
          <w:u w:val="none"/>
        </w:rPr>
        <w:t>до тендерної документації</w:t>
      </w:r>
    </w:p>
    <w:p>
      <w:pPr>
        <w:pStyle w:val="Normal"/>
        <w:spacing w:lineRule="auto" w:line="240" w:before="0" w:after="0"/>
        <w:ind w:hanging="0"/>
        <w:jc w:val="center"/>
        <w:rPr>
          <w:rFonts w:ascii="Times New Roman" w:hAnsi="Times New Roman"/>
        </w:rPr>
      </w:pPr>
      <w:r>
        <w:rPr>
          <w:rFonts w:ascii="Times New Roman" w:hAnsi="Times New Roman"/>
          <w:b/>
          <w:bCs/>
        </w:rPr>
        <w:t xml:space="preserve">«Квадрокоптер DJI Mavic 3T  (в комплекті)» </w:t>
      </w:r>
    </w:p>
    <w:p>
      <w:pPr>
        <w:pStyle w:val="Normal"/>
        <w:spacing w:lineRule="auto" w:line="240" w:before="0" w:after="0"/>
        <w:ind w:hanging="0"/>
        <w:jc w:val="right"/>
        <w:rPr>
          <w:rFonts w:ascii="Times New Roman" w:hAnsi="Times New Roman"/>
        </w:rPr>
      </w:pPr>
      <w:r>
        <w:rPr>
          <w:rFonts w:ascii="Times New Roman" w:hAnsi="Times New Roman"/>
          <w:b/>
          <w:bCs/>
        </w:rPr>
        <w:t>за кодом ДК 021-2015 : 34710000-7 Вертольоти, літаки, космічні та інші літальні апарати з двигуном</w:t>
      </w:r>
    </w:p>
    <w:p>
      <w:pPr>
        <w:pStyle w:val="Normal"/>
        <w:spacing w:lineRule="auto" w:line="240" w:before="0" w:after="0"/>
        <w:ind w:left="5660" w:firstLine="700"/>
        <w:jc w:val="center"/>
        <w:rPr>
          <w:rFonts w:eastAsia="Times New Roman" w:cs="Times New Roman"/>
          <w:i/>
          <w:i/>
          <w:color w:val="000000"/>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color="auto"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Style w:val="af0"/>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5"/>
        <w:gridCol w:w="2273"/>
        <w:gridCol w:w="6861"/>
      </w:tblGrid>
      <w:tr>
        <w:trPr>
          <w:trHeight w:val="690" w:hRule="atLeast"/>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та </w:t>
            </w:r>
            <w:r>
              <w:rPr>
                <w:rFonts w:eastAsia="Times New Roman" w:cs="Times New Roman" w:ascii="Times New Roman" w:hAnsi="Times New Roman"/>
                <w:b/>
                <w:color w:val="000000"/>
                <w:sz w:val="20"/>
                <w:szCs w:val="20"/>
                <w:shd w:fill="auto" w:val="clear"/>
              </w:rPr>
              <w:t>інформація,</w:t>
            </w:r>
            <w:r>
              <w:rPr>
                <w:rFonts w:eastAsia="Times New Roman" w:cs="Times New Roman" w:ascii="Times New Roman" w:hAnsi="Times New Roman"/>
                <w:b/>
                <w:color w:val="000000"/>
                <w:sz w:val="20"/>
                <w:szCs w:val="20"/>
              </w:rPr>
              <w:t> які підтверджують відповідність Учасника кваліфікаційним критеріям**</w:t>
            </w:r>
          </w:p>
        </w:tc>
      </w:tr>
      <w:tr>
        <w:trPr>
          <w:trHeight w:val="2255"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pPr>
              <w:pStyle w:val="Normal"/>
              <w:widowControl w:val="false"/>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Форма 3</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Довідка</w:t>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6340" w:type="dxa"/>
              <w:jc w:val="left"/>
              <w:tblInd w:w="0" w:type="dxa"/>
              <w:tblLayout w:type="fixed"/>
              <w:tblCellMar>
                <w:top w:w="0" w:type="dxa"/>
                <w:left w:w="108" w:type="dxa"/>
                <w:bottom w:w="0" w:type="dxa"/>
                <w:right w:w="108" w:type="dxa"/>
              </w:tblCellMar>
            </w:tblPr>
            <w:tblGrid>
              <w:gridCol w:w="557"/>
              <w:gridCol w:w="1528"/>
              <w:gridCol w:w="1197"/>
              <w:gridCol w:w="1076"/>
              <w:gridCol w:w="1982"/>
            </w:tblGrid>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sz w:val="16"/>
                      <w:szCs w:val="16"/>
                    </w:rPr>
                    <w:t>№</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sz w:val="16"/>
                      <w:szCs w:val="16"/>
                    </w:rPr>
                    <w:t>Найменування замовника за договором</w:t>
                  </w:r>
                </w:p>
              </w:tc>
              <w:tc>
                <w:tcPr>
                  <w:tcW w:w="11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b/>
                      <w:b/>
                      <w:bCs/>
                      <w:i w:val="false"/>
                      <w:i w:val="false"/>
                      <w:iCs w:val="false"/>
                      <w:sz w:val="16"/>
                      <w:szCs w:val="16"/>
                    </w:rPr>
                  </w:pPr>
                  <w:r>
                    <w:rPr>
                      <w:rFonts w:ascii="Times New Roman" w:hAnsi="Times New Roman"/>
                      <w:b/>
                      <w:bCs/>
                      <w:i w:val="false"/>
                      <w:iCs w:val="false"/>
                      <w:color w:val="000000"/>
                      <w:sz w:val="16"/>
                      <w:szCs w:val="16"/>
                      <w:shd w:fill="auto" w:val="clear"/>
                    </w:rPr>
                    <w:t>Код ДК 021:2015</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sz w:val="16"/>
                      <w:szCs w:val="16"/>
                    </w:rPr>
                    <w:t xml:space="preserve">Номер та дата договору </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sz w:val="16"/>
                      <w:szCs w:val="16"/>
                    </w:rPr>
                    <w:t>Документ(и), що підтверджують виконання договору</w:t>
                  </w:r>
                </w:p>
              </w:tc>
            </w:tr>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9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widowControl w:val="false"/>
              <w:spacing w:lineRule="auto" w:line="240" w:before="0" w:after="0"/>
              <w:jc w:val="both"/>
              <w:rPr>
                <w:b w:val="false"/>
                <w:b w:val="false"/>
                <w:bCs w:val="false"/>
                <w:i/>
                <w:i/>
                <w:iCs/>
              </w:rPr>
            </w:pPr>
            <w:r>
              <w:rPr>
                <w:rFonts w:eastAsia="Times New Roman" w:cs="Times New Roman" w:ascii="Times New Roman" w:hAnsi="Times New Roman"/>
                <w:b w:val="false"/>
                <w:bCs w:val="false"/>
                <w:i/>
                <w:iCs/>
                <w:color w:val="000000"/>
                <w:sz w:val="20"/>
                <w:szCs w:val="20"/>
              </w:rPr>
              <w:t xml:space="preserve">Аналогічним вважається договір </w:t>
            </w:r>
            <w:r>
              <w:rPr>
                <w:rFonts w:eastAsia="Times New Roman" w:cs="Times New Roman" w:ascii="Times New Roman" w:hAnsi="Times New Roman"/>
                <w:b w:val="false"/>
                <w:bCs w:val="false"/>
                <w:i/>
                <w:iCs/>
                <w:color w:val="000000"/>
                <w:sz w:val="20"/>
                <w:szCs w:val="20"/>
                <w:shd w:fill="auto" w:val="clear"/>
              </w:rPr>
              <w:t>на постачання учасником товарів, визначених за показником четвертої цифри основного словника ЄЗС ДК 021:2015 : 34710000-7 - Вертольоти, літаки, космічні та інші літальні апарати з двигуном</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2</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36" w:after="36"/>
              <w:jc w:val="both"/>
              <w:rPr/>
            </w:pPr>
            <w:r>
              <w:rPr>
                <w:rFonts w:eastAsia="Times New Roman" w:cs="Times New Roman" w:ascii="Times New Roman" w:hAnsi="Times New Roman"/>
                <w:sz w:val="24"/>
                <w:szCs w:val="24"/>
              </w:rPr>
              <w:t xml:space="preserve">Надати відповідну інформацію про </w:t>
            </w:r>
            <w:r>
              <w:rPr>
                <w:rFonts w:eastAsia="Times New Roman" w:cs="Times New Roman" w:ascii="Times New Roman" w:hAnsi="Times New Roman"/>
                <w:color w:val="000000"/>
                <w:sz w:val="24"/>
                <w:szCs w:val="24"/>
              </w:rPr>
              <w:t>право підписання пропозиції та</w:t>
            </w:r>
            <w:r>
              <w:rPr>
                <w:rFonts w:eastAsia="Times New Roman" w:cs="Times New Roman" w:ascii="Times New Roman" w:hAnsi="Times New Roman"/>
                <w:sz w:val="24"/>
                <w:szCs w:val="24"/>
              </w:rPr>
              <w:t xml:space="preserve"> підписання договору про закупівлю.</w:t>
            </w:r>
            <w:r>
              <w:rPr>
                <w:rFonts w:eastAsia="Times New Roman" w:cs="Times New Roman" w:ascii="Times New Roman" w:hAnsi="Times New Roman"/>
                <w:color w:val="000000"/>
                <w:sz w:val="24"/>
                <w:szCs w:val="24"/>
              </w:rPr>
              <w:t xml:space="preserve"> Д</w:t>
            </w:r>
            <w:r>
              <w:rPr>
                <w:rFonts w:eastAsia="Times New Roman" w:ascii="Times New Roman" w:hAnsi="Times New Roman"/>
                <w:color w:val="000000"/>
                <w:sz w:val="24"/>
                <w:szCs w:val="24"/>
              </w:rPr>
              <w:t xml:space="preserve">окументи, що підтверджують </w:t>
            </w:r>
            <w:r>
              <w:rPr>
                <w:rFonts w:eastAsia="Times New Roman" w:cs="Times New Roman" w:ascii="Times New Roman" w:hAnsi="Times New Roman"/>
                <w:color w:val="000000"/>
                <w:sz w:val="24"/>
                <w:szCs w:val="24"/>
              </w:rPr>
              <w:t>право підписання пропозиції та підписання договору про закупівлю</w:t>
            </w:r>
          </w:p>
          <w:p>
            <w:pPr>
              <w:pStyle w:val="Normal"/>
              <w:widowControl w:val="false"/>
              <w:tabs>
                <w:tab w:val="clear" w:pos="720"/>
                <w:tab w:val="left" w:pos="316" w:leader="none"/>
              </w:tabs>
              <w:spacing w:lineRule="auto" w:line="240" w:before="0" w:after="0"/>
              <w:ind w:left="65"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Наказ або рішення засновників про призначення керівника;</w:t>
            </w:r>
          </w:p>
          <w:p>
            <w:pPr>
              <w:pStyle w:val="Normal"/>
              <w:widowControl w:val="false"/>
              <w:spacing w:lineRule="auto" w:line="240" w:before="0" w:after="0"/>
              <w:jc w:val="both"/>
              <w:rPr/>
            </w:pPr>
            <w:r>
              <w:rPr>
                <w:rFonts w:eastAsia="Times New Roman" w:ascii="Times New Roman" w:hAnsi="Times New Roman"/>
                <w:color w:val="000000"/>
                <w:sz w:val="24"/>
                <w:szCs w:val="24"/>
              </w:rPr>
              <w:t xml:space="preserve">- </w:t>
            </w:r>
            <w:r>
              <w:rPr>
                <w:rFonts w:eastAsia="Times New Roman" w:ascii="Times New Roman" w:hAnsi="Times New Roman"/>
                <w:i w:val="false"/>
                <w:iCs w:val="false"/>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3</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i/>
                <w:iCs/>
                <w:color w:val="000000"/>
                <w:sz w:val="24"/>
                <w:szCs w:val="24"/>
                <w:u w:val="single"/>
              </w:rPr>
              <w:t>зазначити найменування Учасника</w:t>
            </w:r>
            <w:r>
              <w:rPr>
                <w:rFonts w:eastAsia="Times New Roman" w:ascii="Times New Roman" w:hAnsi="Times New Roman"/>
                <w:i/>
                <w:iCs/>
                <w:color w:val="000000"/>
                <w:sz w:val="24"/>
                <w:szCs w:val="24"/>
              </w:rPr>
              <w:t> </w:t>
            </w:r>
            <w:r>
              <w:rPr>
                <w:rFonts w:eastAsia="Times New Roman" w:ascii="Times New Roman" w:hAnsi="Times New Roman"/>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4</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pPr>
            <w:r>
              <w:rPr>
                <w:rFonts w:eastAsia="Times New Roman" w:ascii="Times New Roman" w:hAnsi="Times New Roman"/>
                <w:sz w:val="24"/>
                <w:szCs w:val="24"/>
              </w:rPr>
              <w:t xml:space="preserve">Лист-погодження Учасника з  умовами проєкту Договору про закупівлю, що міститься в </w:t>
            </w:r>
            <w:r>
              <w:rPr>
                <w:rFonts w:eastAsia="Times New Roman" w:ascii="Times New Roman" w:hAnsi="Times New Roman"/>
                <w:b/>
                <w:bCs/>
                <w:sz w:val="24"/>
                <w:szCs w:val="24"/>
              </w:rPr>
              <w:t xml:space="preserve">Додатку  </w:t>
            </w:r>
            <w:r>
              <w:rPr>
                <w:rFonts w:eastAsia="Times New Roman" w:ascii="Times New Roman" w:hAnsi="Times New Roman"/>
                <w:b/>
                <w:bCs/>
                <w:sz w:val="24"/>
                <w:szCs w:val="24"/>
                <w:lang w:val="uk-UA"/>
              </w:rPr>
              <w:t>3</w:t>
            </w:r>
            <w:r>
              <w:rPr>
                <w:rFonts w:eastAsia="Times New Roman" w:ascii="Times New Roman" w:hAnsi="Times New Roman"/>
                <w:sz w:val="24"/>
                <w:szCs w:val="24"/>
              </w:rPr>
              <w:t xml:space="preserve"> до тендерної документації.</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5</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Тел./факс;</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E-mail;</w:t>
            </w:r>
          </w:p>
          <w:p>
            <w:pPr>
              <w:pStyle w:val="Normal"/>
              <w:widowControl w:val="false"/>
              <w:numPr>
                <w:ilvl w:val="0"/>
                <w:numId w:val="2"/>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6</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7</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ind w:left="34" w:right="0" w:hanging="21"/>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pP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shd w:fill="FFFFFF" w:val="clear"/>
              </w:rPr>
              <w:t>амовник може прийняти рішення про відмову учаснику в участі у закупівлі та може відхилити</w:t>
            </w:r>
            <w:r>
              <w:rPr>
                <w:rFonts w:eastAsia="Times New Roman" w:cs="Times New Roman" w:ascii="Times New Roman" w:hAnsi="Times New Roman"/>
                <w:b/>
                <w:i/>
                <w:iCs/>
                <w:color w:val="000000"/>
                <w:sz w:val="24"/>
                <w:szCs w:val="24"/>
                <w:shd w:fill="FFFFFF" w:val="clear"/>
              </w:rPr>
              <w:t xml:space="preserve"> </w:t>
            </w:r>
            <w:r>
              <w:rPr>
                <w:rFonts w:eastAsia="Times New Roman" w:cs="Times New Roman" w:ascii="Times New Roman" w:hAnsi="Times New Roman"/>
                <w:b w:val="false"/>
                <w:bCs w:val="false"/>
                <w:i/>
                <w:iCs/>
                <w:color w:val="000000"/>
                <w:sz w:val="24"/>
                <w:szCs w:val="24"/>
                <w:shd w:fill="FFFFFF" w:val="clear"/>
              </w:rPr>
              <w:t>тендерну пропозицію  учасника як таку, що не відповідає умовам технічної специфікації та іншим вимогам до щодо предмета закупівлі тендерної документації .</w:t>
            </w:r>
          </w:p>
        </w:tc>
      </w:tr>
      <w:tr>
        <w:trPr>
          <w:trHeight w:val="438" w:hRule="atLeast"/>
        </w:trPr>
        <w:tc>
          <w:tcPr>
            <w:tcW w:w="4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i w:val="false"/>
                <w:i w:val="false"/>
                <w:iCs w:val="false"/>
                <w:sz w:val="24"/>
                <w:szCs w:val="24"/>
                <w:u w:val="none"/>
                <w:lang w:val="uk-UA"/>
              </w:rPr>
            </w:pPr>
            <w:r>
              <w:rPr>
                <w:rFonts w:eastAsia="Times New Roman" w:ascii="Times New Roman" w:hAnsi="Times New Roman"/>
                <w:i w:val="false"/>
                <w:iCs w:val="false"/>
                <w:sz w:val="24"/>
                <w:szCs w:val="24"/>
                <w:u w:val="none"/>
                <w:lang w:val="uk-UA"/>
              </w:rPr>
              <w:t>8</w:t>
            </w:r>
          </w:p>
        </w:tc>
        <w:tc>
          <w:tcPr>
            <w:tcW w:w="9134" w:type="dxa"/>
            <w:gridSpan w:val="2"/>
            <w:tcBorders>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i w:val="false"/>
                <w:i w:val="false"/>
                <w:iCs w:val="false"/>
                <w:sz w:val="24"/>
                <w:szCs w:val="24"/>
                <w:u w:val="none"/>
              </w:rPr>
            </w:pPr>
            <w:r>
              <w:rPr>
                <w:rFonts w:eastAsia="Times New Roman" w:cs="Times New Roman" w:ascii="Times New Roman" w:hAnsi="Times New Roman"/>
                <w:i w:val="false"/>
                <w:iCs w:val="false"/>
                <w:color w:val="000000"/>
                <w:sz w:val="24"/>
                <w:szCs w:val="24"/>
                <w:u w:val="none"/>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ascii="Times New Roman" w:hAnsi="Times New Roman"/>
                <w:i w:val="false"/>
                <w:iCs w:val="false"/>
                <w:sz w:val="24"/>
                <w:szCs w:val="24"/>
                <w:u w:val="none"/>
                <w:lang w:val="uk-UA"/>
              </w:rPr>
              <w:t xml:space="preserve"> </w:t>
            </w:r>
            <w:r>
              <w:rPr>
                <w:rFonts w:eastAsia="Times New Roman" w:cs="Times New Roman" w:ascii="Times New Roman" w:hAnsi="Times New Roman"/>
                <w:i w:val="false"/>
                <w:iCs w:val="false"/>
                <w:color w:val="000000"/>
                <w:sz w:val="24"/>
                <w:szCs w:val="24"/>
                <w:u w:val="none"/>
                <w:lang w:val="uk-UA"/>
              </w:rPr>
              <w:t xml:space="preserve">батькові засновника та/або кінцевого бенефіціарного власника, адреса його </w:t>
            </w:r>
            <w:r>
              <w:rPr>
                <w:rFonts w:eastAsia="Times New Roman" w:cs="Times New Roman" w:ascii="Times New Roman" w:hAnsi="Times New Roman"/>
                <w:i w:val="false"/>
                <w:iCs w:val="false"/>
                <w:sz w:val="24"/>
                <w:szCs w:val="24"/>
                <w:u w:val="none"/>
                <w:lang w:val="uk-UA"/>
              </w:rPr>
              <w:t>місця проживання</w:t>
            </w:r>
            <w:r>
              <w:rPr>
                <w:rFonts w:eastAsia="Times New Roman" w:cs="Times New Roman" w:ascii="Times New Roman" w:hAnsi="Times New Roman"/>
                <w:i w:val="false"/>
                <w:iCs w:val="false"/>
                <w:color w:val="000000"/>
                <w:sz w:val="24"/>
                <w:szCs w:val="24"/>
                <w:u w:val="none"/>
                <w:lang w:val="uk-UA"/>
              </w:rPr>
              <w:t xml:space="preserve"> та громадянство.</w:t>
            </w:r>
          </w:p>
          <w:p>
            <w:pPr>
              <w:pStyle w:val="Normal"/>
              <w:widowControl w:val="false"/>
              <w:spacing w:lineRule="auto" w:line="240" w:before="0" w:after="0"/>
              <w:ind w:left="100" w:right="120" w:hanging="20"/>
              <w:jc w:val="both"/>
              <w:rPr>
                <w:rFonts w:ascii="Times New Roman" w:hAnsi="Times New Roman"/>
                <w:i w:val="false"/>
                <w:i w:val="false"/>
                <w:iCs w:val="false"/>
                <w:sz w:val="24"/>
                <w:szCs w:val="24"/>
                <w:u w:val="none"/>
              </w:rPr>
            </w:pPr>
            <w:r>
              <w:rPr>
                <w:rFonts w:cs="Times New Roman" w:ascii="Times New Roman" w:hAnsi="Times New Roman"/>
                <w:i w:val="false"/>
                <w:iCs w:val="false"/>
                <w:sz w:val="24"/>
                <w:szCs w:val="24"/>
                <w:u w:val="none"/>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cs="Times New Roman" w:ascii="Times New Roman" w:hAnsi="Times New Roman"/>
                <w:i w:val="false"/>
                <w:iCs w:val="false"/>
                <w:sz w:val="24"/>
                <w:szCs w:val="24"/>
                <w:u w:val="none"/>
              </w:rPr>
              <w:t> </w:t>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color w:val="00B050"/>
        </w:rPr>
      </w:pPr>
      <w:r>
        <w:rPr>
          <w:rFonts w:eastAsia="Times New Roman" w:cs="Times New Roman" w:ascii="Times New Roman" w:hAnsi="Times New Roman"/>
          <w:b/>
          <w:sz w:val="20"/>
          <w:szCs w:val="20"/>
        </w:rPr>
        <w:t xml:space="preserve">2. </w:t>
      </w:r>
      <w:r>
        <w:rPr>
          <w:rFonts w:eastAsia="Times New Roman" w:cs="Times New Roman" w:ascii="Times New Roman" w:hAnsi="Times New Roman"/>
          <w:b/>
          <w:bCs/>
          <w:color w:val="000000"/>
          <w:sz w:val="20"/>
          <w:szCs w:val="20"/>
        </w:rPr>
        <w:t xml:space="preserve">Підтвердження відповідності УЧАСНИКА </w:t>
      </w:r>
      <w:r>
        <w:rPr>
          <w:rFonts w:eastAsia="Times New Roman" w:cs="Times New Roman" w:ascii="Times New Roman" w:hAnsi="Times New Roman"/>
          <w:b/>
          <w:bCs/>
          <w:color w:val="000000"/>
        </w:rPr>
        <w:t>(в тому числі для об’єднання учасників як учасника процедури)  вимогам, визначеним у пункті 44 Особливостей*.</w:t>
      </w:r>
    </w:p>
    <w:p>
      <w:pPr>
        <w:pStyle w:val="Normal"/>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spacing w:lineRule="auto" w:line="240" w:before="0" w:after="0"/>
        <w:ind w:firstLine="567"/>
        <w:jc w:val="both"/>
        <w:rPr>
          <w:color w:val="000000"/>
        </w:rPr>
      </w:pPr>
      <w:r>
        <w:rPr>
          <w:rFonts w:eastAsia="Times New Roman" w:cs="Times New Roman" w:ascii="Times New Roman" w:hAnsi="Times New Roman"/>
          <w:color w:val="00000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eastAsia="Times New Roman" w:cs="Times New Roman" w:ascii="Times New Roman" w:hAnsi="Times New Roman"/>
          <w:b/>
          <w:color w:val="000000"/>
          <w:sz w:val="20"/>
          <w:szCs w:val="20"/>
        </w:rPr>
        <w:t>шляхом самостійного декларування відсутності таких підстав</w:t>
      </w:r>
      <w:r>
        <w:rPr>
          <w:rFonts w:eastAsia="Times New Roman" w:cs="Times New Roman" w:ascii="Times New Roman" w:hAnsi="Times New Roman"/>
          <w:color w:val="000000"/>
          <w:sz w:val="20"/>
          <w:szCs w:val="20"/>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
          <w:bCs/>
          <w:color w:val="000000"/>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p>
    <w:p>
      <w:pPr>
        <w:pStyle w:val="Normal"/>
        <w:widowControl w:val="false"/>
        <w:spacing w:lineRule="auto" w:line="240" w:before="0"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b/>
          <w:bCs/>
          <w:color w:val="000000"/>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i/>
          <w:iCs/>
          <w:color w:val="000000"/>
          <w:sz w:val="20"/>
          <w:szCs w:val="20"/>
          <w:shd w:fill="auto" w:val="clear"/>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i/>
          <w:i/>
          <w:iCs/>
          <w:color w:val="000000"/>
          <w:sz w:val="20"/>
          <w:szCs w:val="20"/>
          <w:highlight w:val="white"/>
        </w:rPr>
      </w:pPr>
      <w:r>
        <w:rPr>
          <w:rFonts w:eastAsia="Times New Roman" w:cs="Times New Roman" w:ascii="Times New Roman" w:hAnsi="Times New Roman"/>
          <w:i/>
          <w:iCs/>
          <w:color w:val="000000"/>
          <w:sz w:val="20"/>
          <w:szCs w:val="20"/>
          <w:highlight w:val="white"/>
        </w:rPr>
      </w:r>
    </w:p>
    <w:p>
      <w:pPr>
        <w:pStyle w:val="Normal"/>
        <w:spacing w:lineRule="auto" w:line="240" w:before="0" w:after="0"/>
        <w:jc w:val="both"/>
        <w:rPr>
          <w:color w:val="000000"/>
        </w:rPr>
      </w:pPr>
      <w:r>
        <w:rPr>
          <w:rFonts w:eastAsia="Times New Roman" w:cs="Times New Roman" w:ascii="Times New Roman" w:hAnsi="Times New Roman"/>
          <w:b/>
          <w:color w:val="000000"/>
        </w:rPr>
        <w:t>3. 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color w:val="000000"/>
          <w:sz w:val="20"/>
          <w:szCs w:val="20"/>
          <w:highlight w:val="yellow"/>
        </w:rPr>
      </w:pPr>
      <w:r>
        <w:rPr>
          <w:rFonts w:eastAsia="Times New Roman" w:cs="Times New Roman" w:ascii="Times New Roman" w:hAnsi="Times New Roman"/>
          <w:b/>
          <w:color w:val="000000"/>
          <w:sz w:val="20"/>
          <w:szCs w:val="20"/>
          <w:highlight w:val="yellow"/>
        </w:rPr>
      </w:r>
    </w:p>
    <w:p>
      <w:pPr>
        <w:pStyle w:val="Normal"/>
        <w:spacing w:lineRule="auto" w:line="240" w:before="0" w:after="0"/>
        <w:rPr>
          <w:color w:val="000000"/>
        </w:rPr>
      </w:pPr>
      <w:r>
        <w:rPr>
          <w:rFonts w:eastAsia="Times New Roman" w:cs="Times New Roman" w:ascii="Times New Roman" w:hAnsi="Times New Roman"/>
          <w:color w:val="000000"/>
          <w:sz w:val="20"/>
          <w:szCs w:val="20"/>
        </w:rPr>
        <w:t> </w:t>
      </w:r>
      <w:r>
        <w:rPr>
          <w:rFonts w:eastAsia="Times New Roman" w:cs="Times New Roman" w:ascii="Times New Roman" w:hAnsi="Times New Roman"/>
          <w:b/>
          <w:color w:val="000000"/>
          <w:sz w:val="20"/>
          <w:szCs w:val="20"/>
        </w:rPr>
        <w:t>3.1. Документи, які надаються  ПЕРЕМОЖЦЕМ (юридичною особою):</w:t>
      </w:r>
    </w:p>
    <w:tbl>
      <w:tblPr>
        <w:tblStyle w:val="af2"/>
        <w:tblW w:w="9618"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0"/>
        <w:gridCol w:w="4351"/>
        <w:gridCol w:w="4507"/>
      </w:tblGrid>
      <w:tr>
        <w:trPr>
          <w:trHeight w:val="100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з/п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 xml:space="preserve">Вимоги </w:t>
            </w:r>
            <w:r>
              <w:rPr>
                <w:rFonts w:eastAsia="Times New Roman" w:cs="Times New Roman" w:ascii="Times New Roman" w:hAnsi="Times New Roman"/>
                <w:color w:val="000000"/>
                <w:sz w:val="20"/>
                <w:szCs w:val="20"/>
              </w:rPr>
              <w:t>згідно п. 44 Особливостей*</w:t>
            </w:r>
          </w:p>
          <w:p>
            <w:pPr>
              <w:pStyle w:val="Normal"/>
              <w:widowControl w:val="false"/>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 xml:space="preserve">Переможець торгів на виконання вимоги </w:t>
            </w:r>
            <w:r>
              <w:rPr>
                <w:rFonts w:eastAsia="Times New Roman" w:cs="Times New Roman" w:ascii="Times New Roman" w:hAnsi="Times New Roman"/>
                <w:color w:val="000000"/>
                <w:sz w:val="20"/>
                <w:szCs w:val="20"/>
              </w:rPr>
              <w:t>згідно п. 44 Особливостей*</w:t>
            </w:r>
            <w:r>
              <w:rPr>
                <w:rFonts w:eastAsia="Times New Roman" w:cs="Times New Roman" w:ascii="Times New Roman" w:hAnsi="Times New Roman"/>
                <w:b/>
                <w:color w:val="000000"/>
                <w:sz w:val="20"/>
                <w:szCs w:val="20"/>
              </w:rPr>
              <w:t xml:space="preserve">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(підпункт 3 пункт 44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color w:val="000000"/>
              </w:rPr>
            </w:pPr>
            <w:r>
              <w:rPr>
                <w:rFonts w:eastAsia="Times New Roman" w:cs="Times New Roman" w:ascii="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sz w:val="20"/>
                <w:szCs w:val="20"/>
              </w:rPr>
              <w:t>керівника*</w:t>
            </w:r>
            <w:r>
              <w:rPr>
                <w:rFonts w:eastAsia="Times New Roman" w:cs="Times New Roman" w:ascii="Times New Roman" w:hAnsi="Times New Roman"/>
                <w:b/>
                <w:color w:val="000000"/>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(підпункт 6 пункт 44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color w:val="00000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53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3</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(підпункт 12 пункт 44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(абзац 14 пункт 44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color w:val="000000"/>
              </w:rPr>
            </w:pPr>
            <w:r>
              <w:rPr>
                <w:rFonts w:eastAsia="Times New Roman" w:cs="Times New Roman" w:ascii="Times New Roman" w:hAnsi="Times New Roman"/>
                <w:b/>
                <w:color w:val="000000"/>
                <w:sz w:val="20"/>
                <w:szCs w:val="20"/>
              </w:rPr>
              <w:t>Довідка в довільній формі</w:t>
            </w:r>
            <w:r>
              <w:rPr>
                <w:rFonts w:eastAsia="Times New Roman" w:cs="Times New Roman" w:ascii="Times New Roman" w:hAnsi="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color w:val="00000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 — підприємцем):</w:t>
      </w:r>
    </w:p>
    <w:tbl>
      <w:tblPr>
        <w:tblStyle w:val="af3"/>
        <w:tblW w:w="9619"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4605"/>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з/п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 xml:space="preserve">Вимоги </w:t>
            </w:r>
            <w:r>
              <w:rPr>
                <w:rFonts w:eastAsia="Times New Roman" w:cs="Times New Roman" w:ascii="Times New Roman" w:hAnsi="Times New Roman"/>
                <w:color w:val="000000"/>
                <w:sz w:val="20"/>
                <w:szCs w:val="20"/>
              </w:rPr>
              <w:t>згідно пункту 44 Особливостей*</w:t>
            </w:r>
          </w:p>
          <w:p>
            <w:pPr>
              <w:pStyle w:val="Normal"/>
              <w:widowControl w:val="false"/>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color w:val="000000"/>
              </w:rPr>
            </w:pPr>
            <w:r>
              <w:rPr>
                <w:rFonts w:eastAsia="Times New Roman" w:cs="Times New Roman" w:ascii="Times New Roman" w:hAnsi="Times New Roman"/>
                <w:b/>
                <w:color w:val="000000"/>
                <w:sz w:val="20"/>
                <w:szCs w:val="20"/>
              </w:rPr>
              <w:t xml:space="preserve">Переможець торгів на виконання вимоги </w:t>
            </w:r>
            <w:r>
              <w:rPr>
                <w:rFonts w:eastAsia="Times New Roman" w:cs="Times New Roman" w:ascii="Times New Roman" w:hAnsi="Times New Roman"/>
                <w:color w:val="000000"/>
                <w:sz w:val="20"/>
                <w:szCs w:val="20"/>
              </w:rPr>
              <w:t>згідно пункту 44 Особливостей*</w:t>
            </w:r>
            <w:r>
              <w:rPr>
                <w:rFonts w:eastAsia="Times New Roman" w:cs="Times New Roman" w:ascii="Times New Roman" w:hAnsi="Times New Roman"/>
                <w:b/>
                <w:color w:val="000000"/>
                <w:sz w:val="20"/>
                <w:szCs w:val="20"/>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color w:val="000000"/>
              </w:rPr>
            </w:pPr>
            <w:r>
              <w:rPr>
                <w:rFonts w:eastAsia="Times New Roman" w:cs="Times New Roman" w:ascii="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sz w:val="20"/>
                <w:szCs w:val="20"/>
              </w:rPr>
              <w:t>керівника*</w:t>
            </w:r>
            <w:r>
              <w:rPr>
                <w:rFonts w:eastAsia="Times New Roman" w:cs="Times New Roman" w:ascii="Times New Roman" w:hAnsi="Times New Roman"/>
                <w:b/>
                <w:color w:val="000000"/>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3</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(підпункт 12 пункт 44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09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color w:val="000000"/>
              </w:rPr>
            </w:pPr>
            <w:r>
              <w:rPr>
                <w:rFonts w:eastAsia="Times New Roman" w:cs="Times New Roman" w:ascii="Times New Roman" w:hAnsi="Times New Roman"/>
                <w:b/>
                <w:color w:val="000000"/>
                <w:sz w:val="20"/>
                <w:szCs w:val="20"/>
              </w:rPr>
              <w:t>Довідка в довільній формі</w:t>
            </w:r>
            <w:r>
              <w:rPr>
                <w:rFonts w:eastAsia="Times New Roman" w:cs="Times New Roman" w:ascii="Times New Roman" w:hAnsi="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hd w:val="clear" w:fill="FFFFFF"/>
        <w:spacing w:lineRule="auto" w:line="240" w:before="0" w:after="0"/>
        <w:rPr/>
      </w:pPr>
      <w:r>
        <w:rPr>
          <w:rFonts w:eastAsia="Times New Roman" w:cs="Times New Roman" w:ascii="Times New Roman" w:hAnsi="Times New Roman"/>
          <w:b/>
          <w:bCs/>
          <w:color w:val="000000"/>
          <w:sz w:val="24"/>
          <w:szCs w:val="24"/>
          <w:shd w:fill="auto" w:val="clear"/>
          <w:lang w:val="uk-UA" w:eastAsia="ru-RU"/>
        </w:rPr>
        <w:t>4.Вимоги до оформлення забезпечення тендерної пропозиції /</w:t>
      </w:r>
      <w:r>
        <w:rPr>
          <w:rFonts w:eastAsia="Times New Roman" w:cs="Times New Roman" w:ascii="Times New Roman" w:hAnsi="Times New Roman"/>
          <w:b/>
          <w:bCs/>
          <w:color w:val="000000"/>
          <w:kern w:val="0"/>
          <w:sz w:val="24"/>
          <w:szCs w:val="24"/>
          <w:shd w:fill="FFFFFF" w:val="clear"/>
          <w:lang w:val="uk-UA" w:eastAsia="ru-RU" w:bidi="ar-SA"/>
        </w:rPr>
        <w:t>забезпечення виконання договору про закупівлю</w:t>
      </w:r>
      <w:r>
        <w:rPr>
          <w:rFonts w:eastAsia="Times New Roman" w:cs="Times New Roman" w:ascii="Times New Roman" w:hAnsi="Times New Roman"/>
          <w:b/>
          <w:bCs/>
          <w:color w:val="000000"/>
          <w:sz w:val="24"/>
          <w:szCs w:val="24"/>
          <w:shd w:fill="auto" w:val="clear"/>
          <w:lang w:val="uk-UA" w:eastAsia="ru-RU"/>
        </w:rPr>
        <w:t xml:space="preserve">( у вигляді банківської гарантії) </w:t>
      </w:r>
    </w:p>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Інструкція щодо заповнення гарантії: </w:t>
      </w:r>
    </w:p>
    <w:p>
      <w:pPr>
        <w:pStyle w:val="Normal"/>
        <w:spacing w:lineRule="auto" w:line="240" w:before="0" w:after="0"/>
        <w:rPr/>
      </w:pP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ab/>
        <w:t>в гарантії потрібно зазначити дані в місцях з нижнім підкресленням;</w:t>
      </w:r>
    </w:p>
    <w:p>
      <w:pPr>
        <w:pStyle w:val="Normal"/>
        <w:shd w:val="clear" w:fill="FFFFFF"/>
        <w:spacing w:lineRule="auto" w:line="240" w:before="0" w:after="0"/>
        <w:rPr/>
      </w:pP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ab/>
        <w:t>замінити слова курсивом на відповідні дані;</w:t>
      </w:r>
    </w:p>
    <w:p>
      <w:pPr>
        <w:pStyle w:val="Normal"/>
        <w:shd w:val="clear" w:fill="FFFFFF"/>
        <w:spacing w:lineRule="auto" w:line="240" w:before="0" w:after="0"/>
        <w:rPr/>
      </w:pP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ab/>
      </w:r>
      <w:r>
        <w:rPr>
          <w:rFonts w:eastAsia="Times New Roman" w:cs="Times New Roman" w:ascii="Times New Roman" w:hAnsi="Times New Roman"/>
          <w:color w:val="000000"/>
          <w:sz w:val="20"/>
          <w:szCs w:val="20"/>
          <w:shd w:fill="FFFF00" w:val="clear"/>
        </w:rPr>
        <w:t>*</w:t>
      </w:r>
      <w:r>
        <w:rPr>
          <w:rFonts w:eastAsia="Times New Roman" w:cs="Times New Roman" w:ascii="Times New Roman" w:hAnsi="Times New Roman"/>
          <w:color w:val="000000"/>
          <w:sz w:val="20"/>
          <w:szCs w:val="20"/>
        </w:rPr>
        <w:t xml:space="preserve">вибрати необхідне: </w:t>
      </w:r>
      <w:r>
        <w:rPr>
          <w:rFonts w:eastAsia="Times New Roman" w:cs="Times New Roman" w:ascii="Times New Roman" w:hAnsi="Times New Roman"/>
          <w:color w:val="000000"/>
          <w:sz w:val="20"/>
          <w:szCs w:val="20"/>
          <w:shd w:fill="FFFF00" w:val="clear"/>
        </w:rPr>
        <w:t>робочі або банківські дні</w:t>
      </w:r>
      <w:r>
        <w:rPr>
          <w:rFonts w:eastAsia="Times New Roman" w:cs="Times New Roman" w:ascii="Times New Roman" w:hAnsi="Times New Roman"/>
          <w:sz w:val="20"/>
          <w:szCs w:val="20"/>
        </w:rPr>
        <w:t>;</w:t>
      </w:r>
    </w:p>
    <w:p>
      <w:pPr>
        <w:pStyle w:val="Normal"/>
        <w:shd w:val="clear" w:fill="FFFFFF"/>
        <w:spacing w:lineRule="auto" w:line="240" w:before="0" w:after="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ab/>
      </w:r>
      <w:r>
        <w:rPr>
          <w:rFonts w:eastAsia="Times New Roman" w:cs="Times New Roman" w:ascii="Times New Roman" w:hAnsi="Times New Roman"/>
          <w:color w:val="000000"/>
          <w:sz w:val="20"/>
          <w:szCs w:val="20"/>
        </w:rPr>
        <w:t>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w:t>
      </w:r>
    </w:p>
    <w:p>
      <w:pPr>
        <w:pStyle w:val="Normal"/>
        <w:shd w:val="clear" w:fill="FFFFFF"/>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p>
      <w:pPr>
        <w:pStyle w:val="Normal"/>
        <w:shd w:val="clear" w:fill="FFFFFF"/>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ЗАТВЕРДЖЕНО</w:t>
        <w:br/>
        <w:t>Наказ Міністерства розвитку економіки, </w:t>
      </w:r>
    </w:p>
    <w:p>
      <w:pPr>
        <w:pStyle w:val="Normal"/>
        <w:shd w:val="clear" w:fill="FFFFFF"/>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торгівлі та сільського господарства України</w:t>
        <w:br/>
        <w:t>14 грудня 2020 року N 2628</w:t>
      </w:r>
    </w:p>
    <w:p>
      <w:pPr>
        <w:pStyle w:val="Normal"/>
        <w:shd w:val="clear"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Форма</w:t>
        <w:br/>
        <w:t>забезпечення тендерної пропозиції</w:t>
      </w:r>
    </w:p>
    <w:tbl>
      <w:tblPr>
        <w:tblW w:w="9629" w:type="dxa"/>
        <w:jc w:val="left"/>
        <w:tblInd w:w="-15" w:type="dxa"/>
        <w:tblLayout w:type="fixed"/>
        <w:tblCellMar>
          <w:top w:w="0" w:type="dxa"/>
          <w:left w:w="108" w:type="dxa"/>
          <w:bottom w:w="0" w:type="dxa"/>
          <w:right w:w="108" w:type="dxa"/>
        </w:tblCellMar>
      </w:tblPr>
      <w:tblGrid>
        <w:gridCol w:w="9629"/>
      </w:tblGrid>
      <w:tr>
        <w:trPr/>
        <w:tc>
          <w:tcPr>
            <w:tcW w:w="962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lineRule="auto" w:line="240" w:before="0" w:after="0"/>
              <w:ind w:left="316"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9599" w:type="dxa"/>
              <w:jc w:val="center"/>
              <w:tblInd w:w="0" w:type="dxa"/>
              <w:tblLayout w:type="fixed"/>
              <w:tblCellMar>
                <w:top w:w="0" w:type="dxa"/>
                <w:left w:w="108" w:type="dxa"/>
                <w:bottom w:w="0" w:type="dxa"/>
                <w:right w:w="108" w:type="dxa"/>
              </w:tblCellMar>
            </w:tblPr>
            <w:tblGrid>
              <w:gridCol w:w="9599"/>
            </w:tblGrid>
            <w:tr>
              <w:trPr/>
              <w:tc>
                <w:tcPr>
                  <w:tcW w:w="9599" w:type="dxa"/>
                  <w:tcBorders/>
                </w:tcPr>
                <w:p>
                  <w:pPr>
                    <w:pStyle w:val="Normal"/>
                    <w:widowControl w:val="false"/>
                    <w:spacing w:lineRule="auto" w:line="240" w:before="0" w:after="0"/>
                    <w:ind w:left="316" w:right="0" w:hanging="0"/>
                    <w:rPr/>
                  </w:pPr>
                  <w:r>
                    <w:rPr>
                      <w:rFonts w:eastAsia="Times New Roman" w:cs="Times New Roman" w:ascii="Times New Roman" w:hAnsi="Times New Roman"/>
                      <w:color w:val="000000"/>
                      <w:sz w:val="20"/>
                      <w:szCs w:val="20"/>
                    </w:rPr>
                    <w:t>                                             </w:t>
                  </w:r>
                  <w:r>
                    <w:rPr>
                      <w:rFonts w:eastAsia="Times New Roman" w:cs="Times New Roman" w:ascii="Times New Roman" w:hAnsi="Times New Roman"/>
                      <w:color w:val="000000"/>
                      <w:sz w:val="20"/>
                      <w:szCs w:val="20"/>
                    </w:rPr>
                    <w:t>___________________ </w:t>
                  </w:r>
                  <w:r>
                    <w:rPr>
                      <w:rFonts w:eastAsia="Times New Roman" w:cs="Times New Roman" w:ascii="Times New Roman" w:hAnsi="Times New Roman"/>
                      <w:b/>
                      <w:color w:val="000000"/>
                      <w:sz w:val="20"/>
                      <w:szCs w:val="20"/>
                    </w:rPr>
                    <w:t xml:space="preserve">ГАРАНТІЯ </w:t>
                  </w:r>
                  <w:r>
                    <w:rPr>
                      <w:rFonts w:eastAsia="Times New Roman" w:cs="Times New Roman" w:ascii="Times New Roman" w:hAnsi="Times New Roman"/>
                      <w:b/>
                      <w:sz w:val="20"/>
                      <w:szCs w:val="20"/>
                    </w:rPr>
                    <w:t>№</w:t>
                  </w:r>
                  <w:r>
                    <w:rPr>
                      <w:rFonts w:eastAsia="Times New Roman" w:cs="Times New Roman" w:ascii="Times New Roman" w:hAnsi="Times New Roman"/>
                      <w:color w:val="000000"/>
                      <w:sz w:val="20"/>
                      <w:szCs w:val="20"/>
                    </w:rPr>
                    <w:t> ________</w:t>
                    <w:br/>
                    <w:t>                                          (назва в разі необхідності)</w:t>
                  </w:r>
                </w:p>
              </w:tc>
            </w:tr>
            <w:tr>
              <w:trPr/>
              <w:tc>
                <w:tcPr>
                  <w:tcW w:w="9599" w:type="dxa"/>
                  <w:tcBorders/>
                </w:tcPr>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Реквізити</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Дата видачі 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Місце складання ____________________________________________________________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Повне найменування гаранта__________________________________________________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Повне найменування принципала______________________________________________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Найменування бенефіціара____________________________________________________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Сума гарантії _______________________________________________________________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Назва валюти, у якій надається гарантія 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Дата початку строку дії гарантії (набрання чинності) 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Дата закінчення строку дії гарантії, якщо жодна з подій, передбачених у пункті 4 форми, не настане____________________________________________________________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Номер оголошення про проведення конкурентної процедури закупівлі_______________</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Інформація щодо тендерної документації________________________________________</w:t>
                    <w:br/>
                    <w:br/>
                  </w:r>
                </w:p>
                <w:p>
                  <w:pPr>
                    <w:pStyle w:val="Normal"/>
                    <w:widowControl w:val="false"/>
                    <w:spacing w:lineRule="auto" w:line="240" w:before="0" w:after="0"/>
                    <w:ind w:left="316" w:right="0" w:hanging="0"/>
                    <w:rPr/>
                  </w:pPr>
                  <w:r>
                    <w:rPr>
                      <w:rFonts w:eastAsia="Times New Roman" w:cs="Times New Roman" w:ascii="Times New Roman" w:hAnsi="Times New Roman"/>
                      <w:color w:val="000000"/>
                      <w:sz w:val="20"/>
                      <w:szCs w:val="20"/>
                    </w:rPr>
                    <w:t>Відомості про договір, відповідно до якого видається</w:t>
                  </w:r>
                  <w:r>
                    <w:rPr>
                      <w:rFonts w:eastAsia="Times New Roman" w:cs="Times New Roman" w:ascii="Times New Roman" w:hAnsi="Times New Roman"/>
                      <w:color w:val="000000"/>
                      <w:sz w:val="20"/>
                      <w:szCs w:val="20"/>
                      <w:shd w:fill="auto" w:val="clear"/>
                    </w:rPr>
                    <w:t xml:space="preserve"> гарантія банком, страховою організацією, фінансовою установою</w:t>
                  </w:r>
                  <w:r>
                    <w:rPr>
                      <w:rFonts w:eastAsia="Times New Roman" w:cs="Times New Roman" w:ascii="Times New Roman" w:hAnsi="Times New Roman"/>
                      <w:color w:val="000000"/>
                      <w:sz w:val="20"/>
                      <w:szCs w:val="20"/>
                    </w:rPr>
                    <w:t xml:space="preserve"> (у разі наявності)____________________________</w:t>
                  </w:r>
                  <w:r>
                    <w:rPr>
                      <w:rFonts w:eastAsia="Times New Roman" w:cs="Times New Roman" w:ascii="Times New Roman" w:hAnsi="Times New Roman"/>
                      <w:b/>
                      <w:bCs/>
                      <w:color w:val="000000"/>
                      <w:sz w:val="20"/>
                      <w:szCs w:val="20"/>
                    </w:rPr>
                    <w:t>***</w:t>
                  </w:r>
                </w:p>
                <w:p>
                  <w:pPr>
                    <w:pStyle w:val="Normal"/>
                    <w:widowControl w:val="false"/>
                    <w:spacing w:lineRule="auto" w:line="240" w:before="0" w:after="0"/>
                    <w:ind w:left="316" w:right="0" w:hanging="0"/>
                    <w:rPr/>
                  </w:pPr>
                  <w:r>
                    <w:rPr>
                      <w:rFonts w:eastAsia="Times New Roman" w:cs="Times New Roman" w:ascii="Times New Roman" w:hAnsi="Times New Roman"/>
                      <w:color w:val="000000"/>
                      <w:sz w:val="20"/>
                      <w:szCs w:val="20"/>
                    </w:rPr>
                    <w:t>2. Ця гарантія застосовується для цілей забезпечення тендерної пропозиції учасника процедури закупівлі відповідно до </w:t>
                  </w:r>
                  <w:hyperlink r:id="rId2">
                    <w:r>
                      <w:rPr>
                        <w:rFonts w:eastAsia="Times New Roman" w:cs="Times New Roman" w:ascii="Times New Roman" w:hAnsi="Times New Roman"/>
                        <w:color w:val="000000"/>
                        <w:sz w:val="20"/>
                        <w:szCs w:val="20"/>
                        <w:u w:val="single"/>
                      </w:rPr>
                      <w:t>Закону України "Про публічні закупівлі"</w:t>
                    </w:r>
                  </w:hyperlink>
                  <w:r>
                    <w:rPr>
                      <w:rFonts w:eastAsia="Times New Roman" w:cs="Times New Roman" w:ascii="Times New Roman" w:hAnsi="Times New Roman"/>
                      <w:color w:val="000000"/>
                      <w:sz w:val="20"/>
                      <w:szCs w:val="20"/>
                    </w:rPr>
                    <w:t xml:space="preserve"> (далі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Закон).</w:t>
                  </w:r>
                </w:p>
                <w:p>
                  <w:pPr>
                    <w:pStyle w:val="Normal"/>
                    <w:widowControl w:val="false"/>
                    <w:spacing w:lineRule="auto" w:line="240" w:before="0" w:after="0"/>
                    <w:ind w:left="316" w:right="0" w:hanging="0"/>
                    <w:rPr/>
                  </w:pPr>
                  <w:r>
                    <w:rPr>
                      <w:rFonts w:eastAsia="Times New Roman" w:cs="Times New Roman" w:ascii="Times New Roman" w:hAnsi="Times New Roman"/>
                      <w:color w:val="000000"/>
                      <w:sz w:val="20"/>
                      <w:szCs w:val="20"/>
                    </w:rPr>
                    <w:t xml:space="preserve">3. За цією гарантією гарант безвідклично зобов'язаний сплатити бенефіціару суму гарантії протягом 5 </w:t>
                  </w:r>
                  <w:r>
                    <w:rPr>
                      <w:rFonts w:eastAsia="Times New Roman" w:cs="Times New Roman" w:ascii="Times New Roman" w:hAnsi="Times New Roman"/>
                      <w:color w:val="000000"/>
                      <w:sz w:val="20"/>
                      <w:szCs w:val="20"/>
                      <w:shd w:fill="FFFF00" w:val="clear"/>
                    </w:rPr>
                    <w:t>робочих/банківських*</w:t>
                  </w:r>
                  <w:r>
                    <w:rPr>
                      <w:rFonts w:eastAsia="Times New Roman" w:cs="Times New Roman" w:ascii="Times New Roman" w:hAnsi="Times New Roman"/>
                      <w:color w:val="000000"/>
                      <w:sz w:val="20"/>
                      <w:szCs w:val="20"/>
                    </w:rPr>
                    <w:t xml:space="preserve"> днів після дня отримання гарантом письмової вимоги бенефіціара про сплату суми гарантії (далі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вимога).</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Вимога надається бенефіціаром на поштову адресу гаранта та повинна бути отримана ним протягом строку дії гарантії.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непідписання принципалом, який став переможцем тендеру, договору про закупівлю;</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Normal"/>
                    <w:widowControl w:val="false"/>
                    <w:spacing w:lineRule="auto" w:line="240" w:before="0" w:after="0"/>
                    <w:ind w:left="316" w:right="0" w:hanging="0"/>
                    <w:rPr/>
                  </w:pPr>
                  <w:r>
                    <w:rPr>
                      <w:rFonts w:eastAsia="Times New Roman" w:cs="Times New Roman" w:ascii="Times New Roman" w:hAnsi="Times New Roman"/>
                      <w:color w:val="000000"/>
                      <w:sz w:val="20"/>
                      <w:szCs w:val="20"/>
                    </w:rPr>
                    <w:t>ненадання принципалом, який став переможцем процедури закупівлі (крім переговорної процедури закупівлі), у строк, визначений </w:t>
                  </w:r>
                  <w:hyperlink r:id="rId3">
                    <w:r>
                      <w:rPr>
                        <w:rFonts w:eastAsia="Times New Roman" w:cs="Times New Roman" w:ascii="Times New Roman" w:hAnsi="Times New Roman"/>
                        <w:color w:val="000000"/>
                        <w:sz w:val="20"/>
                        <w:szCs w:val="20"/>
                        <w:u w:val="single"/>
                      </w:rPr>
                      <w:t>частиною шостою статті 17 Закону</w:t>
                    </w:r>
                  </w:hyperlink>
                  <w:r>
                    <w:rPr>
                      <w:rFonts w:eastAsia="Times New Roman" w:cs="Times New Roman" w:ascii="Times New Roman" w:hAnsi="Times New Roman"/>
                      <w:color w:val="000000"/>
                      <w:sz w:val="20"/>
                      <w:szCs w:val="20"/>
                    </w:rPr>
                    <w:t>, документів, що підтверджують відсутність підстав, установлених </w:t>
                  </w:r>
                  <w:hyperlink r:id="rId4">
                    <w:r>
                      <w:rPr>
                        <w:rFonts w:eastAsia="Times New Roman" w:cs="Times New Roman" w:ascii="Times New Roman" w:hAnsi="Times New Roman"/>
                        <w:color w:val="000000"/>
                        <w:sz w:val="20"/>
                        <w:szCs w:val="20"/>
                        <w:u w:val="single"/>
                      </w:rPr>
                      <w:t>статтею 17 Закону</w:t>
                    </w:r>
                  </w:hyperlink>
                  <w:r>
                    <w:rPr>
                      <w:rFonts w:eastAsia="Times New Roman" w:cs="Times New Roman" w:ascii="Times New Roman" w:hAnsi="Times New Roman"/>
                      <w:b/>
                      <w:bCs/>
                      <w:color w:val="000000"/>
                      <w:sz w:val="20"/>
                      <w:szCs w:val="20"/>
                    </w:rPr>
                    <w:t>****</w:t>
                  </w:r>
                  <w:r>
                    <w:rPr>
                      <w:rFonts w:eastAsia="Times New Roman" w:cs="Times New Roman" w:ascii="Times New Roman" w:hAnsi="Times New Roman"/>
                      <w:color w:val="000000"/>
                      <w:sz w:val="20"/>
                      <w:szCs w:val="20"/>
                    </w:rPr>
                    <w:t>.</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сплата бенефіціару суми гарантії;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отримання гарантом письмової заяви бенефіціара про звільнення гаранта від зобов'язань за цією гарантією;</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закінчення строку дії тендерної пропозиції та забезпечення тендерної пропозиції, зазначеного в тендерній документації;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укладення договору про закупівлю з учасником, який став переможцем процедури закупівлі (крім переговорної процедури закупівлі);</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відкликання принципалом тендерної пропозиції до закінчення строку її подання;</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закінчення тендеру в разі неукладення договору про закупівлю з жодним з учасників, які подали тендерні пропозиції.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 Ця гарантія надається виключно бенефіціару і не може бути передана або переуступлена будь-кому.</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Відносини за цією гарантією регулюються законодавством України.</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Зобов'язання та відповідальність гаранта перед бенефіціаром обмежуються сумою гарантії.</w:t>
                  </w:r>
                </w:p>
                <w:p>
                  <w:pPr>
                    <w:pStyle w:val="Normal"/>
                    <w:widowControl w:val="false"/>
                    <w:spacing w:lineRule="auto" w:line="240" w:before="0" w:after="0"/>
                    <w:ind w:left="316"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ind w:left="316" w:right="0" w:hanging="0"/>
                    <w:jc w:val="center"/>
                    <w:rPr/>
                  </w:pPr>
                  <w:r>
                    <w:rPr>
                      <w:rFonts w:eastAsia="Times New Roman" w:cs="Times New Roman" w:ascii="Times New Roman" w:hAnsi="Times New Roman"/>
                      <w:b/>
                      <w:bCs/>
                      <w:color w:val="000000"/>
                      <w:sz w:val="20"/>
                      <w:szCs w:val="20"/>
                    </w:rPr>
                    <w:t>**</w:t>
                  </w:r>
                  <w:r>
                    <w:rPr>
                      <w:rFonts w:eastAsia="Times New Roman" w:cs="Times New Roman" w:ascii="Times New Roman" w:hAnsi="Times New Roman"/>
                      <w:color w:val="000000"/>
                      <w:sz w:val="20"/>
                      <w:szCs w:val="20"/>
                    </w:rPr>
                    <w:t>Уповноважена(і) особа(и) (у разі складання гарантії на паперовому носії)</w:t>
                    <w:br/>
                    <w:t>___________________________________________________________________________  </w:t>
                  </w:r>
                  <w:r>
                    <w:rPr>
                      <w:rFonts w:eastAsia="Times New Roman" w:cs="Times New Roman" w:ascii="Times New Roman" w:hAnsi="Times New Roman"/>
                      <w:i/>
                      <w:color w:val="000000"/>
                      <w:sz w:val="20"/>
                      <w:szCs w:val="20"/>
                    </w:rPr>
                    <w:t>(посада, підпис, прізвище, ім'я, по батькові (за наявності) та печатка (у разі наявності))</w:t>
                  </w:r>
                </w:p>
                <w:p>
                  <w:pPr>
                    <w:pStyle w:val="Normal"/>
                    <w:widowControl w:val="false"/>
                    <w:spacing w:lineRule="auto" w:line="240" w:before="0" w:after="0"/>
                    <w:ind w:left="316"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Уповноважена(і) особа(и) (у разі надання в електронній формі)</w:t>
                    <w:br/>
                    <w:t>___________________________________________________________________________</w:t>
                  </w:r>
                </w:p>
                <w:p>
                  <w:pPr>
                    <w:pStyle w:val="Normal"/>
                    <w:widowControl w:val="false"/>
                    <w:spacing w:lineRule="auto" w:line="240" w:before="0" w:after="0"/>
                    <w:ind w:left="316" w:right="0" w:hanging="0"/>
                    <w:jc w:val="center"/>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(посада, підпис, прізвище, ім'я, по батькові (за наявності) та кваліфікований електронний підпис)</w:t>
                  </w:r>
                </w:p>
              </w:tc>
            </w:tr>
          </w:tbl>
          <w:p>
            <w:pPr>
              <w:pStyle w:val="Normal"/>
              <w:widowControl w:val="false"/>
              <w:shd w:val="clear" w:fill="FFFFFF"/>
              <w:spacing w:lineRule="auto" w:line="240" w:before="0" w:after="0"/>
              <w:ind w:left="316"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0"/>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**даний пункт виконується у випадку встановлення вимоги щодо надання гарантії на паперовому носії;</w:t>
      </w:r>
    </w:p>
    <w:p>
      <w:pPr>
        <w:pStyle w:val="Normal"/>
        <w:spacing w:lineRule="auto" w:line="240" w:before="0" w:after="0"/>
        <w:rPr/>
      </w:pPr>
      <w:r>
        <w:rPr>
          <w:rFonts w:eastAsia="Times New Roman" w:cs="Times New Roman" w:ascii="Times New Roman" w:hAnsi="Times New Roman"/>
          <w:i/>
          <w:color w:val="000000"/>
          <w:sz w:val="20"/>
          <w:szCs w:val="20"/>
        </w:rPr>
        <w:t>***у випадку відсутності договору зазначається «відсутній» або ставиться прочерк, або залишається поле пустим</w:t>
      </w:r>
      <w:r>
        <w:rPr>
          <w:rFonts w:eastAsia="Times New Roman" w:cs="Times New Roman" w:ascii="Times New Roman" w:hAnsi="Times New Roman"/>
          <w:i/>
          <w:sz w:val="20"/>
          <w:szCs w:val="20"/>
        </w:rPr>
        <w:t>;</w:t>
      </w:r>
    </w:p>
    <w:p>
      <w:pPr>
        <w:pStyle w:val="Normal"/>
        <w:spacing w:lineRule="auto" w:line="240" w:before="0" w:after="0"/>
        <w:rPr/>
      </w:pPr>
      <w:r>
        <w:rPr>
          <w:rFonts w:eastAsia="Times New Roman" w:cs="Times New Roman" w:ascii="Times New Roman" w:hAnsi="Times New Roman"/>
          <w:i/>
          <w:color w:val="000000"/>
          <w:sz w:val="16"/>
          <w:szCs w:val="16"/>
        </w:rPr>
        <w:t>****</w:t>
      </w:r>
      <w:r>
        <w:rPr>
          <w:rFonts w:eastAsia="Times New Roman" w:cs="Times New Roman" w:ascii="Times New Roman" w:hAnsi="Times New Roman"/>
          <w:i/>
          <w:color w:val="000000"/>
          <w:sz w:val="20"/>
          <w:szCs w:val="20"/>
        </w:rPr>
        <w:t xml:space="preserve">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w:t>
      </w:r>
      <w:r>
        <w:rPr>
          <w:i/>
          <w:color w:val="000000"/>
          <w:sz w:val="18"/>
          <w:szCs w:val="18"/>
        </w:rPr>
        <w:t>.</w:t>
      </w:r>
    </w:p>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До уваги учасників інформація для оформлення банківської гарантії:</w:t>
      </w:r>
    </w:p>
    <w:p>
      <w:pPr>
        <w:pStyle w:val="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Назва Замовника: ГУНП в Полтавській області</w:t>
      </w:r>
    </w:p>
    <w:p>
      <w:pPr>
        <w:pStyle w:val="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Місцезнаходження Замовника: вул. Пушкіна,83, м. Полтава, Полтавська область, Україна, 36014</w:t>
      </w:r>
    </w:p>
    <w:p>
      <w:pPr>
        <w:pStyle w:val="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Код ЄДРПОУ: 40108630, МФО 820172</w:t>
      </w:r>
    </w:p>
    <w:p>
      <w:pPr>
        <w:pStyle w:val="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IBAN: UA828201720355109001002092638 в ДКСУ м. Київ</w:t>
      </w:r>
    </w:p>
    <w:p>
      <w:pPr>
        <w:pStyle w:val="Normal"/>
        <w:spacing w:lineRule="auto" w:line="240" w:before="0" w:after="0"/>
        <w:jc w:val="both"/>
        <w:rPr>
          <w:rFonts w:ascii="Times New Roman" w:hAnsi="Times New Roman" w:eastAsia="Times New Roman" w:cs="Times New Roman"/>
          <w:b/>
          <w:b/>
          <w:bCs/>
          <w:sz w:val="24"/>
          <w:szCs w:val="24"/>
        </w:rPr>
      </w:pPr>
      <w:r>
        <w:rPr/>
      </w:r>
      <w:bookmarkStart w:id="0" w:name="_heading=h.gjdgxs"/>
      <w:bookmarkStart w:id="1" w:name="_heading=h.gjdgxs"/>
      <w:bookmarkEnd w:id="1"/>
    </w:p>
    <w:sectPr>
      <w:type w:val="nextPage"/>
      <w:pgSz w:w="11906" w:h="16838"/>
      <w:pgMar w:left="1417" w:right="850" w:gutter="0" w:header="0" w:top="850" w:footer="0"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Покажчик"/>
    <w:basedOn w:val="Normal"/>
    <w:qFormat/>
    <w:pPr>
      <w:suppressLineNumbers/>
    </w:pPr>
    <w:rPr>
      <w:rFonts w:cs="Lucida Sans"/>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paragraph" w:styleId="Style17">
    <w:name w:val="Вміст таблиці"/>
    <w:basedOn w:val="Normal"/>
    <w:qFormat/>
    <w:pPr>
      <w:widowControl w:val="false"/>
      <w:suppressLineNumbers/>
    </w:pPr>
    <w:rPr/>
  </w:style>
  <w:style w:type="paragraph" w:styleId="Style18">
    <w:name w:val="Заголовок таблиці"/>
    <w:basedOn w:val="Style1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s.ligazakon.net/document/view/t150922?ed=2020_12_02" TargetMode="External"/><Relationship Id="rId3" Type="http://schemas.openxmlformats.org/officeDocument/2006/relationships/hyperlink" Target="https://ips.ligazakon.net/document/view/t150922?ed=2020_12_02&amp;an=1295" TargetMode="External"/><Relationship Id="rId4" Type="http://schemas.openxmlformats.org/officeDocument/2006/relationships/hyperlink" Target="https://ips.ligazakon.net/document/view/t150922?ed=2020_12_02&amp;an=1274"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LibreOffice/7.4.5.1$Windows_X86_64 LibreOffice_project/9c0871452b3918c1019dde9bfac75448afc4b57f</Application>
  <AppVersion>15.0000</AppVersion>
  <Pages>7</Pages>
  <Words>2767</Words>
  <Characters>19716</Characters>
  <CharactersWithSpaces>22460</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2023-02-28T14:14:00Z</dcterms:created>
  <dc:creator>Кристина Белякова</dc:creator>
  <dc:description/>
  <dc:language>uk-UA</dc:language>
  <cp:lastModifiedBy/>
  <dcterms:modified xsi:type="dcterms:W3CDTF">2023-03-10T15:55:55Z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