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EA676" w14:textId="77777777" w:rsidR="00F87B6F" w:rsidRPr="0058666C" w:rsidRDefault="00F87B6F" w:rsidP="00F87B6F">
      <w:pPr>
        <w:spacing w:line="259" w:lineRule="auto"/>
        <w:jc w:val="right"/>
        <w:rPr>
          <w:rFonts w:eastAsia="Calibri"/>
          <w:b/>
          <w:bCs/>
          <w:color w:val="auto"/>
          <w:sz w:val="28"/>
          <w:szCs w:val="28"/>
          <w:lang w:val="uk-UA" w:eastAsia="en-US"/>
        </w:rPr>
      </w:pPr>
      <w:r w:rsidRPr="0058666C">
        <w:rPr>
          <w:rFonts w:eastAsia="Calibri"/>
          <w:b/>
          <w:bCs/>
          <w:color w:val="auto"/>
          <w:sz w:val="28"/>
          <w:szCs w:val="28"/>
          <w:lang w:val="uk-UA" w:eastAsia="en-US"/>
        </w:rPr>
        <w:t>Додаток 2</w:t>
      </w:r>
    </w:p>
    <w:p w14:paraId="45F4B6B6" w14:textId="77777777" w:rsidR="00F87B6F" w:rsidRPr="006D714F" w:rsidRDefault="00F87B6F" w:rsidP="00F87B6F">
      <w:pPr>
        <w:spacing w:line="259" w:lineRule="auto"/>
        <w:jc w:val="right"/>
        <w:rPr>
          <w:rFonts w:eastAsia="Calibri"/>
          <w:color w:val="auto"/>
          <w:sz w:val="28"/>
          <w:szCs w:val="28"/>
          <w:lang w:val="uk-UA" w:eastAsia="en-US"/>
        </w:rPr>
      </w:pPr>
      <w:r w:rsidRPr="006D714F">
        <w:rPr>
          <w:rFonts w:eastAsia="Calibri"/>
          <w:color w:val="auto"/>
          <w:sz w:val="28"/>
          <w:szCs w:val="28"/>
          <w:lang w:val="uk-UA" w:eastAsia="en-US"/>
        </w:rPr>
        <w:t xml:space="preserve"> до тендерної документації</w:t>
      </w:r>
    </w:p>
    <w:p w14:paraId="581246A6" w14:textId="77777777" w:rsidR="00F87B6F" w:rsidRPr="006D714F" w:rsidRDefault="00F87B6F" w:rsidP="00F87B6F">
      <w:pPr>
        <w:spacing w:line="259" w:lineRule="auto"/>
        <w:jc w:val="center"/>
        <w:rPr>
          <w:rFonts w:eastAsia="Calibri"/>
          <w:b/>
          <w:color w:val="auto"/>
          <w:sz w:val="28"/>
          <w:szCs w:val="28"/>
          <w:lang w:val="uk-UA" w:eastAsia="en-US"/>
        </w:rPr>
      </w:pPr>
    </w:p>
    <w:p w14:paraId="502D22AC" w14:textId="77777777" w:rsidR="00F87B6F" w:rsidRDefault="00F87B6F" w:rsidP="00F87B6F">
      <w:pPr>
        <w:jc w:val="center"/>
        <w:rPr>
          <w:rFonts w:eastAsia="Calibri"/>
          <w:b/>
          <w:color w:val="auto"/>
          <w:sz w:val="28"/>
          <w:szCs w:val="28"/>
          <w:lang w:val="uk-UA" w:eastAsia="en-US"/>
        </w:rPr>
      </w:pPr>
      <w:r>
        <w:rPr>
          <w:b/>
          <w:bCs/>
          <w:lang w:val="uk-UA"/>
        </w:rPr>
        <w:t xml:space="preserve"> </w:t>
      </w:r>
      <w:r w:rsidRPr="00D20007">
        <w:rPr>
          <w:rFonts w:eastAsia="Calibri"/>
          <w:b/>
          <w:color w:val="auto"/>
          <w:sz w:val="28"/>
          <w:szCs w:val="28"/>
          <w:lang w:val="uk-UA" w:eastAsia="en-US"/>
        </w:rPr>
        <w:t>Інформація про необхідні технічні, якісні та кількісні характеристики</w:t>
      </w:r>
    </w:p>
    <w:p w14:paraId="6E980E8D" w14:textId="77777777" w:rsidR="00F87B6F" w:rsidRPr="00D20007" w:rsidRDefault="00F87B6F" w:rsidP="00F87B6F">
      <w:pPr>
        <w:jc w:val="center"/>
        <w:rPr>
          <w:rFonts w:eastAsia="Calibri"/>
          <w:color w:val="auto"/>
          <w:sz w:val="28"/>
          <w:szCs w:val="28"/>
          <w:lang w:val="uk-UA" w:eastAsia="en-US"/>
        </w:rPr>
      </w:pPr>
      <w:r w:rsidRPr="00D20007">
        <w:rPr>
          <w:rFonts w:eastAsia="Calibri"/>
          <w:b/>
          <w:color w:val="auto"/>
          <w:sz w:val="28"/>
          <w:szCs w:val="28"/>
          <w:lang w:val="uk-UA" w:eastAsia="en-US"/>
        </w:rPr>
        <w:t xml:space="preserve">предмета закупівлі: </w:t>
      </w:r>
    </w:p>
    <w:p w14:paraId="5A7330E8" w14:textId="77777777" w:rsidR="00F87B6F" w:rsidRDefault="00F87B6F" w:rsidP="00F87B6F">
      <w:pPr>
        <w:ind w:firstLine="720"/>
        <w:jc w:val="center"/>
        <w:rPr>
          <w:rFonts w:eastAsia="Calibri"/>
          <w:b/>
          <w:caps/>
          <w:color w:val="auto"/>
          <w:lang w:eastAsia="en-US"/>
        </w:rPr>
      </w:pPr>
    </w:p>
    <w:p w14:paraId="10280D86" w14:textId="77777777" w:rsidR="00F87B6F" w:rsidRPr="009D7051" w:rsidRDefault="00F87B6F" w:rsidP="00E57D7C">
      <w:pPr>
        <w:autoSpaceDE w:val="0"/>
        <w:autoSpaceDN w:val="0"/>
        <w:adjustRightInd w:val="0"/>
        <w:ind w:firstLine="709"/>
        <w:jc w:val="both"/>
        <w:rPr>
          <w:lang w:val="uk-UA"/>
        </w:rPr>
      </w:pPr>
      <w:r w:rsidRPr="009D7051">
        <w:rPr>
          <w:b/>
          <w:bCs/>
          <w:lang w:val="uk-UA"/>
        </w:rPr>
        <w:t xml:space="preserve">Строк поставки – протягом 10 днів з моменту надання заявки від Замовника, але не пізніше 01 вересня 2024 року </w:t>
      </w:r>
    </w:p>
    <w:p w14:paraId="6B9B8DF7" w14:textId="77777777" w:rsidR="00F87B6F" w:rsidRPr="009D7051" w:rsidRDefault="00F87B6F" w:rsidP="00E57D7C">
      <w:pPr>
        <w:autoSpaceDE w:val="0"/>
        <w:autoSpaceDN w:val="0"/>
        <w:adjustRightInd w:val="0"/>
        <w:ind w:firstLine="709"/>
        <w:jc w:val="both"/>
        <w:rPr>
          <w:lang w:val="uk-UA"/>
        </w:rPr>
      </w:pPr>
      <w:r w:rsidRPr="009D7051">
        <w:rPr>
          <w:b/>
          <w:bCs/>
          <w:lang w:val="uk-UA"/>
        </w:rPr>
        <w:t xml:space="preserve">Строк оплати – протягом 30 робочих днів з дня поставки; </w:t>
      </w:r>
    </w:p>
    <w:p w14:paraId="49A23717" w14:textId="77777777" w:rsidR="00F87B6F" w:rsidRPr="009D7051" w:rsidRDefault="00F87B6F" w:rsidP="00E57D7C">
      <w:pPr>
        <w:autoSpaceDE w:val="0"/>
        <w:autoSpaceDN w:val="0"/>
        <w:adjustRightInd w:val="0"/>
        <w:ind w:firstLine="709"/>
        <w:jc w:val="both"/>
        <w:rPr>
          <w:lang w:val="uk-UA"/>
        </w:rPr>
      </w:pPr>
      <w:r w:rsidRPr="009D7051">
        <w:rPr>
          <w:lang w:val="uk-UA"/>
        </w:rPr>
        <w:t xml:space="preserve">1. Гарантійні вимоги: </w:t>
      </w:r>
    </w:p>
    <w:p w14:paraId="6F2838A8" w14:textId="77777777" w:rsidR="00F87B6F" w:rsidRPr="009D7051" w:rsidRDefault="00F87B6F" w:rsidP="00E57D7C">
      <w:pPr>
        <w:autoSpaceDE w:val="0"/>
        <w:autoSpaceDN w:val="0"/>
        <w:adjustRightInd w:val="0"/>
        <w:ind w:firstLine="709"/>
        <w:jc w:val="both"/>
        <w:rPr>
          <w:lang w:val="uk-UA"/>
        </w:rPr>
      </w:pPr>
      <w:r w:rsidRPr="009D7051">
        <w:rPr>
          <w:lang w:val="uk-UA"/>
        </w:rPr>
        <w:t xml:space="preserve">1.1. Строк гарантії на Товар – не менше 12 місяців з дати поставки Товару. </w:t>
      </w:r>
    </w:p>
    <w:p w14:paraId="751273EC" w14:textId="77777777" w:rsidR="00F87B6F" w:rsidRPr="009D7051" w:rsidRDefault="00F87B6F" w:rsidP="00E57D7C">
      <w:pPr>
        <w:autoSpaceDE w:val="0"/>
        <w:autoSpaceDN w:val="0"/>
        <w:adjustRightInd w:val="0"/>
        <w:ind w:firstLine="709"/>
        <w:jc w:val="both"/>
        <w:rPr>
          <w:lang w:val="uk-UA"/>
        </w:rPr>
      </w:pPr>
      <w:r w:rsidRPr="009D7051">
        <w:rPr>
          <w:lang w:val="uk-UA"/>
        </w:rPr>
        <w:t xml:space="preserve">1.2. Строк заміни дефектного (неякісного) Товару/виправлення (усунення) дефектів – 3 календарних днів. </w:t>
      </w:r>
    </w:p>
    <w:p w14:paraId="5FF61E57" w14:textId="77777777" w:rsidR="00F87B6F" w:rsidRPr="009D7051" w:rsidRDefault="00F87B6F" w:rsidP="00E57D7C">
      <w:pPr>
        <w:autoSpaceDE w:val="0"/>
        <w:autoSpaceDN w:val="0"/>
        <w:adjustRightInd w:val="0"/>
        <w:ind w:firstLine="709"/>
        <w:jc w:val="both"/>
        <w:rPr>
          <w:lang w:val="uk-UA"/>
        </w:rPr>
      </w:pPr>
      <w:r w:rsidRPr="009D7051">
        <w:rPr>
          <w:lang w:val="uk-UA"/>
        </w:rPr>
        <w:t xml:space="preserve">2. Вимоги до безпеки: Товар, що поставляється повністю відповідає встановленим для даного Товару технічним вимогам, що підтверджує якість Товару, що забезпечує його безпеку для життя і здоров'я користувачів. Товар є придатним для цілей, для яких товар такого роду звичайно використовується. Товар виготовлений у відповідності зі стандартами, що діють на території України затвердженими на даний вид Товару. Товар має паспорти на Товар, сертифікати відповідності, сертифікати якості та декларації відповідності, що підтверджують якість Товару. </w:t>
      </w:r>
    </w:p>
    <w:p w14:paraId="7FF6E850" w14:textId="77777777" w:rsidR="00F87B6F" w:rsidRPr="009D7051" w:rsidRDefault="00F87B6F" w:rsidP="00E57D7C">
      <w:pPr>
        <w:ind w:firstLine="709"/>
        <w:contextualSpacing/>
        <w:jc w:val="both"/>
        <w:rPr>
          <w:rFonts w:eastAsia="Times New Roman"/>
          <w:bCs/>
          <w:color w:val="auto"/>
          <w:lang w:val="uk-UA" w:eastAsia="uk-UA"/>
        </w:rPr>
      </w:pPr>
      <w:r w:rsidRPr="009D7051">
        <w:rPr>
          <w:rFonts w:eastAsia="Times New Roman"/>
          <w:bCs/>
          <w:color w:val="auto"/>
          <w:lang w:val="uk-UA" w:eastAsia="uk-UA"/>
        </w:rPr>
        <w:t>3. Поставка здійснюється за рахунок учасника-переможця процедури закупівлі.</w:t>
      </w:r>
    </w:p>
    <w:p w14:paraId="3E3B36CE" w14:textId="77777777" w:rsidR="00F87B6F" w:rsidRPr="009D7051" w:rsidRDefault="00F87B6F" w:rsidP="00E57D7C">
      <w:pPr>
        <w:ind w:firstLine="709"/>
        <w:contextualSpacing/>
        <w:jc w:val="both"/>
        <w:rPr>
          <w:rFonts w:eastAsia="Times New Roman"/>
          <w:bCs/>
          <w:color w:val="auto"/>
          <w:lang w:val="uk-UA" w:eastAsia="uk-UA"/>
        </w:rPr>
      </w:pPr>
      <w:r w:rsidRPr="009D7051">
        <w:rPr>
          <w:rFonts w:eastAsia="Times New Roman"/>
          <w:bCs/>
          <w:color w:val="auto"/>
          <w:lang w:val="uk-UA" w:eastAsia="uk-UA"/>
        </w:rPr>
        <w:t>4. Товар має бути новим, якісним та поставлятися в упаковці, яка забезпечує його зберігання, запобігає пошкодженню під час транспортування та приймання-передачі.</w:t>
      </w:r>
    </w:p>
    <w:p w14:paraId="00B24C7D" w14:textId="77777777" w:rsidR="00F87B6F" w:rsidRPr="009D7051" w:rsidRDefault="00F87B6F" w:rsidP="00E57D7C">
      <w:pPr>
        <w:ind w:firstLine="709"/>
        <w:contextualSpacing/>
        <w:jc w:val="both"/>
        <w:rPr>
          <w:rFonts w:eastAsia="Times New Roman"/>
          <w:bCs/>
          <w:color w:val="auto"/>
          <w:lang w:val="uk-UA" w:eastAsia="uk-UA"/>
        </w:rPr>
      </w:pPr>
      <w:r w:rsidRPr="009D7051">
        <w:rPr>
          <w:rFonts w:eastAsia="Times New Roman"/>
          <w:bCs/>
          <w:color w:val="auto"/>
          <w:lang w:val="uk-UA" w:eastAsia="uk-UA"/>
        </w:rPr>
        <w:t>5. Товар повинен відповідати вимогам охорони праці, екології та пожежної безпеки.</w:t>
      </w:r>
    </w:p>
    <w:p w14:paraId="532D0E1B" w14:textId="77777777" w:rsidR="00F87B6F" w:rsidRPr="009D7051" w:rsidRDefault="00F87B6F" w:rsidP="00E57D7C">
      <w:pPr>
        <w:ind w:firstLine="709"/>
        <w:contextualSpacing/>
        <w:jc w:val="both"/>
        <w:rPr>
          <w:rFonts w:eastAsia="Times New Roman"/>
          <w:bCs/>
          <w:color w:val="auto"/>
          <w:lang w:val="uk-UA" w:eastAsia="uk-UA"/>
        </w:rPr>
      </w:pPr>
      <w:r w:rsidRPr="009D7051">
        <w:rPr>
          <w:rFonts w:eastAsia="Times New Roman"/>
          <w:bCs/>
          <w:color w:val="auto"/>
          <w:lang w:val="uk-UA" w:eastAsia="uk-UA"/>
        </w:rPr>
        <w:t xml:space="preserve">6. </w:t>
      </w:r>
      <w:r w:rsidRPr="009D7051">
        <w:rPr>
          <w:rFonts w:eastAsia="Times New Roman"/>
          <w:color w:val="auto"/>
          <w:lang w:val="uk-UA" w:eastAsia="uk-UA"/>
        </w:rPr>
        <w:t xml:space="preserve">Поставка товару здійснюється переможцем торгів </w:t>
      </w:r>
      <w:r w:rsidRPr="009D7051">
        <w:rPr>
          <w:rFonts w:eastAsia="Times New Roman"/>
          <w:bCs/>
          <w:color w:val="auto"/>
          <w:lang w:val="uk-UA" w:eastAsia="uk-UA"/>
        </w:rPr>
        <w:t xml:space="preserve">відповідно до умов договору, проект якого викладено у </w:t>
      </w:r>
      <w:r w:rsidRPr="009D7051">
        <w:rPr>
          <w:rFonts w:eastAsia="Times New Roman"/>
          <w:b/>
          <w:bCs/>
          <w:color w:val="auto"/>
          <w:lang w:val="uk-UA" w:eastAsia="uk-UA"/>
        </w:rPr>
        <w:t>Додатку 3</w:t>
      </w:r>
      <w:r w:rsidRPr="009D7051">
        <w:rPr>
          <w:rFonts w:eastAsia="Times New Roman"/>
          <w:bCs/>
          <w:color w:val="auto"/>
          <w:lang w:val="uk-UA" w:eastAsia="uk-UA"/>
        </w:rPr>
        <w:t xml:space="preserve"> до тендерної документації</w:t>
      </w:r>
      <w:r w:rsidRPr="009D7051">
        <w:rPr>
          <w:rFonts w:eastAsia="Times New Roman"/>
          <w:color w:val="auto"/>
          <w:lang w:val="uk-UA" w:eastAsia="uk-UA"/>
        </w:rPr>
        <w:t>.</w:t>
      </w:r>
    </w:p>
    <w:p w14:paraId="02831295" w14:textId="4F10CB1B" w:rsidR="00F87B6F" w:rsidRPr="009D7051" w:rsidRDefault="00F87B6F" w:rsidP="00E57D7C">
      <w:pPr>
        <w:ind w:firstLine="709"/>
        <w:jc w:val="both"/>
        <w:rPr>
          <w:rFonts w:eastAsia="Times New Roman"/>
          <w:lang w:val="uk-UA"/>
        </w:rPr>
      </w:pPr>
      <w:r w:rsidRPr="009D7051">
        <w:rPr>
          <w:rFonts w:eastAsia="Times New Roman"/>
          <w:bCs/>
          <w:color w:val="auto"/>
          <w:lang w:val="uk-UA" w:eastAsia="uk-UA"/>
        </w:rPr>
        <w:t xml:space="preserve">7. </w:t>
      </w:r>
      <w:proofErr w:type="spellStart"/>
      <w:r w:rsidR="00E4763A">
        <w:rPr>
          <w:rFonts w:eastAsia="Times New Roman"/>
          <w:lang w:val="uk-UA"/>
        </w:rPr>
        <w:t>Погнегасник</w:t>
      </w:r>
      <w:proofErr w:type="spellEnd"/>
      <w:r w:rsidRPr="009D7051">
        <w:rPr>
          <w:rFonts w:eastAsia="Times New Roman"/>
          <w:lang w:val="uk-UA"/>
        </w:rPr>
        <w:t xml:space="preserve"> повинен відповідати переліченим в технічних характеристиках.</w:t>
      </w:r>
    </w:p>
    <w:p w14:paraId="796C84DD" w14:textId="77777777" w:rsidR="00F87B6F" w:rsidRPr="009D7051" w:rsidRDefault="00F87B6F" w:rsidP="00F87B6F">
      <w:pPr>
        <w:autoSpaceDE w:val="0"/>
        <w:autoSpaceDN w:val="0"/>
        <w:adjustRightInd w:val="0"/>
        <w:rPr>
          <w:lang w:val="uk-UA"/>
        </w:rPr>
      </w:pPr>
    </w:p>
    <w:p w14:paraId="53320EF8" w14:textId="77777777" w:rsidR="00F87B6F" w:rsidRPr="009D7051" w:rsidRDefault="00F87B6F" w:rsidP="00F87B6F">
      <w:pPr>
        <w:autoSpaceDE w:val="0"/>
        <w:autoSpaceDN w:val="0"/>
        <w:adjustRightInd w:val="0"/>
        <w:jc w:val="center"/>
        <w:rPr>
          <w:lang w:val="uk-UA"/>
        </w:rPr>
      </w:pPr>
      <w:r w:rsidRPr="009D7051">
        <w:rPr>
          <w:b/>
          <w:bCs/>
          <w:lang w:val="uk-UA"/>
        </w:rPr>
        <w:t>ПЕРЕЛІК ДОКУМЕНТІВ В ЧАСТИНІ ТЕХНІЧНИХ ТА ЯКІСНИХ ХАРАКТЕРИСТИК ПРЕДМЕТА ЗАКУПІВЛІ, ЩО НАДАЮТЬСЯ У СКЛАДІ ЦІНОВОЇ ПРОПОЗИЦІЇ</w:t>
      </w:r>
    </w:p>
    <w:p w14:paraId="4275143D" w14:textId="08B5AE49" w:rsidR="00F87B6F" w:rsidRPr="009D7051" w:rsidRDefault="00F87B6F" w:rsidP="00E57D7C">
      <w:pPr>
        <w:autoSpaceDE w:val="0"/>
        <w:autoSpaceDN w:val="0"/>
        <w:adjustRightInd w:val="0"/>
        <w:ind w:firstLine="709"/>
        <w:jc w:val="both"/>
        <w:rPr>
          <w:lang w:val="uk-UA"/>
        </w:rPr>
      </w:pPr>
      <w:r w:rsidRPr="009D7051">
        <w:rPr>
          <w:lang w:val="uk-UA"/>
        </w:rPr>
        <w:t xml:space="preserve">1. Заповнити таблицю порівняльних характеристик запропонованого Товару за формою нижче та надати в складі тендерної пропозиції: </w:t>
      </w:r>
    </w:p>
    <w:p w14:paraId="3CEBE6F5" w14:textId="77777777" w:rsidR="00E57D7C" w:rsidRPr="009D7051" w:rsidRDefault="00E57D7C" w:rsidP="00E57D7C">
      <w:pPr>
        <w:autoSpaceDE w:val="0"/>
        <w:autoSpaceDN w:val="0"/>
        <w:adjustRightInd w:val="0"/>
        <w:ind w:firstLine="709"/>
        <w:jc w:val="both"/>
        <w:rPr>
          <w:lang w:val="uk-UA"/>
        </w:rPr>
      </w:pPr>
    </w:p>
    <w:p w14:paraId="70CA882C" w14:textId="24D6E8A9" w:rsidR="00E57D7C" w:rsidRPr="009D7051" w:rsidRDefault="00F87B6F" w:rsidP="00E57D7C">
      <w:pPr>
        <w:ind w:firstLine="720"/>
        <w:jc w:val="center"/>
        <w:rPr>
          <w:rFonts w:eastAsia="Calibri"/>
          <w:b/>
          <w:caps/>
          <w:color w:val="auto"/>
          <w:lang w:eastAsia="en-US"/>
        </w:rPr>
      </w:pPr>
      <w:r w:rsidRPr="009D7051">
        <w:rPr>
          <w:rFonts w:eastAsia="Calibri"/>
          <w:b/>
          <w:caps/>
          <w:color w:val="auto"/>
          <w:lang w:eastAsia="en-US"/>
        </w:rPr>
        <w:t>вимоги ДО ПРЕДМЕТУ ЗАКУПІВЛІ</w:t>
      </w:r>
    </w:p>
    <w:p w14:paraId="3F54ECD6" w14:textId="63A86BCA" w:rsidR="00F87B6F" w:rsidRPr="009D7051" w:rsidRDefault="00F87B6F" w:rsidP="00F87B6F">
      <w:pPr>
        <w:jc w:val="center"/>
        <w:rPr>
          <w:rFonts w:eastAsia="Calibri"/>
          <w:b/>
          <w:color w:val="auto"/>
          <w:u w:val="single"/>
          <w:lang w:val="uk-UA" w:eastAsia="en-US"/>
        </w:rPr>
      </w:pPr>
      <w:r w:rsidRPr="009D7051">
        <w:rPr>
          <w:rFonts w:eastAsia="Calibri"/>
          <w:b/>
          <w:color w:val="auto"/>
          <w:u w:val="single"/>
          <w:lang w:val="uk-UA" w:eastAsia="en-US"/>
        </w:rPr>
        <w:t>Таблиця 1</w:t>
      </w:r>
    </w:p>
    <w:p w14:paraId="4F3C20C3" w14:textId="77777777" w:rsidR="00E57D7C" w:rsidRPr="009D7051" w:rsidRDefault="00E57D7C" w:rsidP="00F87B6F">
      <w:pPr>
        <w:jc w:val="center"/>
        <w:rPr>
          <w:rFonts w:eastAsia="Calibri"/>
          <w:b/>
          <w:color w:val="auto"/>
          <w:u w:val="single"/>
          <w:lang w:val="uk-UA" w:eastAsia="en-US"/>
        </w:rPr>
      </w:pPr>
    </w:p>
    <w:tbl>
      <w:tblPr>
        <w:tblW w:w="101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1399"/>
        <w:gridCol w:w="567"/>
        <w:gridCol w:w="709"/>
        <w:gridCol w:w="3685"/>
        <w:gridCol w:w="1843"/>
        <w:gridCol w:w="1543"/>
      </w:tblGrid>
      <w:tr w:rsidR="00F87B6F" w:rsidRPr="00BD7CDF" w14:paraId="61F25E65" w14:textId="77777777" w:rsidTr="00E4763A">
        <w:trPr>
          <w:trHeight w:val="1155"/>
        </w:trPr>
        <w:tc>
          <w:tcPr>
            <w:tcW w:w="444" w:type="dxa"/>
            <w:shd w:val="clear" w:color="auto" w:fill="auto"/>
            <w:hideMark/>
          </w:tcPr>
          <w:p w14:paraId="380EA5DC" w14:textId="77777777" w:rsidR="00F87B6F" w:rsidRPr="00CB7FE3" w:rsidRDefault="00F87B6F" w:rsidP="00510EF9">
            <w:pPr>
              <w:rPr>
                <w:rFonts w:eastAsia="Calibri"/>
                <w:b/>
                <w:bCs/>
                <w:sz w:val="20"/>
                <w:szCs w:val="20"/>
                <w:lang w:val="uk-UA" w:eastAsia="uk-UA"/>
              </w:rPr>
            </w:pPr>
            <w:r w:rsidRPr="00CB7FE3">
              <w:rPr>
                <w:rFonts w:eastAsia="Calibri"/>
                <w:b/>
                <w:bCs/>
                <w:sz w:val="20"/>
                <w:szCs w:val="20"/>
                <w:lang w:val="uk-UA" w:eastAsia="uk-UA"/>
              </w:rPr>
              <w:t>№</w:t>
            </w:r>
          </w:p>
        </w:tc>
        <w:tc>
          <w:tcPr>
            <w:tcW w:w="1399" w:type="dxa"/>
            <w:shd w:val="clear" w:color="auto" w:fill="auto"/>
            <w:hideMark/>
          </w:tcPr>
          <w:p w14:paraId="24FDB3C7" w14:textId="77777777" w:rsidR="00F87B6F" w:rsidRPr="00CB7FE3" w:rsidRDefault="00F87B6F" w:rsidP="00510EF9">
            <w:pPr>
              <w:rPr>
                <w:rFonts w:eastAsia="Calibri"/>
                <w:b/>
                <w:bCs/>
                <w:sz w:val="20"/>
                <w:szCs w:val="20"/>
                <w:lang w:val="uk-UA" w:eastAsia="uk-UA"/>
              </w:rPr>
            </w:pPr>
            <w:r w:rsidRPr="00CB7FE3">
              <w:rPr>
                <w:rFonts w:eastAsia="Calibri"/>
                <w:b/>
                <w:bCs/>
                <w:sz w:val="20"/>
                <w:szCs w:val="20"/>
                <w:lang w:val="uk-UA" w:eastAsia="uk-UA"/>
              </w:rPr>
              <w:t>Назва предмета закупівлі</w:t>
            </w:r>
          </w:p>
        </w:tc>
        <w:tc>
          <w:tcPr>
            <w:tcW w:w="567" w:type="dxa"/>
            <w:shd w:val="clear" w:color="auto" w:fill="auto"/>
            <w:hideMark/>
          </w:tcPr>
          <w:p w14:paraId="33E69E61" w14:textId="77777777" w:rsidR="00F87B6F" w:rsidRPr="00CB7FE3" w:rsidRDefault="00F87B6F" w:rsidP="00510EF9">
            <w:pPr>
              <w:rPr>
                <w:rFonts w:eastAsia="Calibri"/>
                <w:b/>
                <w:bCs/>
                <w:sz w:val="20"/>
                <w:szCs w:val="20"/>
                <w:lang w:val="uk-UA" w:eastAsia="uk-UA"/>
              </w:rPr>
            </w:pPr>
            <w:r w:rsidRPr="00CB7FE3">
              <w:rPr>
                <w:rFonts w:eastAsia="Calibri"/>
                <w:b/>
                <w:bCs/>
                <w:sz w:val="20"/>
                <w:szCs w:val="20"/>
                <w:lang w:val="uk-UA" w:eastAsia="uk-UA"/>
              </w:rPr>
              <w:t>Од. виміру</w:t>
            </w:r>
          </w:p>
        </w:tc>
        <w:tc>
          <w:tcPr>
            <w:tcW w:w="709" w:type="dxa"/>
            <w:shd w:val="clear" w:color="auto" w:fill="auto"/>
            <w:hideMark/>
          </w:tcPr>
          <w:p w14:paraId="3156B4D9" w14:textId="77777777" w:rsidR="00F87B6F" w:rsidRPr="00CB7FE3" w:rsidRDefault="00F87B6F" w:rsidP="00510EF9">
            <w:pPr>
              <w:rPr>
                <w:rFonts w:eastAsia="Calibri"/>
                <w:b/>
                <w:bCs/>
                <w:sz w:val="20"/>
                <w:szCs w:val="20"/>
                <w:lang w:val="uk-UA" w:eastAsia="uk-UA"/>
              </w:rPr>
            </w:pPr>
            <w:r w:rsidRPr="00CB7FE3">
              <w:rPr>
                <w:rFonts w:eastAsia="Calibri"/>
                <w:b/>
                <w:bCs/>
                <w:sz w:val="20"/>
                <w:szCs w:val="20"/>
                <w:lang w:val="uk-UA" w:eastAsia="uk-UA"/>
              </w:rPr>
              <w:t>К-ть</w:t>
            </w:r>
          </w:p>
        </w:tc>
        <w:tc>
          <w:tcPr>
            <w:tcW w:w="3685" w:type="dxa"/>
            <w:shd w:val="clear" w:color="auto" w:fill="auto"/>
            <w:hideMark/>
          </w:tcPr>
          <w:p w14:paraId="6664B8DA" w14:textId="77777777" w:rsidR="00F87B6F" w:rsidRPr="00CB7FE3" w:rsidRDefault="00F87B6F" w:rsidP="00510EF9">
            <w:pPr>
              <w:rPr>
                <w:rFonts w:eastAsia="Calibri"/>
                <w:b/>
                <w:bCs/>
                <w:sz w:val="20"/>
                <w:szCs w:val="20"/>
                <w:lang w:val="uk-UA" w:eastAsia="uk-UA"/>
              </w:rPr>
            </w:pPr>
            <w:r w:rsidRPr="00CB7FE3">
              <w:rPr>
                <w:rFonts w:eastAsia="Calibri"/>
                <w:b/>
                <w:bCs/>
                <w:sz w:val="20"/>
                <w:szCs w:val="20"/>
                <w:lang w:val="uk-UA" w:eastAsia="uk-UA"/>
              </w:rPr>
              <w:t>Технічний опис</w:t>
            </w:r>
          </w:p>
        </w:tc>
        <w:tc>
          <w:tcPr>
            <w:tcW w:w="1843" w:type="dxa"/>
          </w:tcPr>
          <w:p w14:paraId="41148319" w14:textId="77777777" w:rsidR="00F87B6F" w:rsidRPr="00CB7FE3" w:rsidRDefault="00F87B6F" w:rsidP="00510EF9">
            <w:pPr>
              <w:rPr>
                <w:rFonts w:eastAsia="Calibri"/>
                <w:b/>
                <w:bCs/>
                <w:sz w:val="20"/>
                <w:szCs w:val="20"/>
                <w:lang w:val="uk-UA" w:eastAsia="uk-UA"/>
              </w:rPr>
            </w:pPr>
            <w:r w:rsidRPr="00CB7FE3">
              <w:rPr>
                <w:rFonts w:eastAsia="Calibri"/>
                <w:b/>
                <w:bCs/>
                <w:sz w:val="20"/>
                <w:szCs w:val="20"/>
                <w:lang w:val="uk-UA" w:eastAsia="uk-UA"/>
              </w:rPr>
              <w:t xml:space="preserve">Пропозиція учасника із назвою, торговою маркою та </w:t>
            </w:r>
            <w:proofErr w:type="spellStart"/>
            <w:r w:rsidRPr="00CB7FE3">
              <w:rPr>
                <w:rFonts w:eastAsia="Calibri"/>
                <w:b/>
                <w:bCs/>
                <w:sz w:val="20"/>
                <w:szCs w:val="20"/>
                <w:lang w:val="uk-UA" w:eastAsia="uk-UA"/>
              </w:rPr>
              <w:t>техничим</w:t>
            </w:r>
            <w:proofErr w:type="spellEnd"/>
            <w:r w:rsidRPr="00CB7FE3">
              <w:rPr>
                <w:rFonts w:eastAsia="Calibri"/>
                <w:b/>
                <w:bCs/>
                <w:sz w:val="20"/>
                <w:szCs w:val="20"/>
                <w:lang w:val="uk-UA" w:eastAsia="uk-UA"/>
              </w:rPr>
              <w:t xml:space="preserve"> описом</w:t>
            </w:r>
          </w:p>
        </w:tc>
        <w:tc>
          <w:tcPr>
            <w:tcW w:w="1543" w:type="dxa"/>
          </w:tcPr>
          <w:p w14:paraId="4AF6323E" w14:textId="77777777" w:rsidR="00F87B6F" w:rsidRPr="00CB7FE3" w:rsidRDefault="00F87B6F" w:rsidP="00510EF9">
            <w:pPr>
              <w:rPr>
                <w:rFonts w:eastAsia="Calibri"/>
                <w:b/>
                <w:bCs/>
                <w:sz w:val="20"/>
                <w:szCs w:val="20"/>
                <w:lang w:val="uk-UA" w:eastAsia="uk-UA"/>
              </w:rPr>
            </w:pPr>
            <w:r w:rsidRPr="00CB7FE3">
              <w:rPr>
                <w:rFonts w:eastAsia="Calibri"/>
                <w:b/>
                <w:bCs/>
                <w:sz w:val="20"/>
                <w:szCs w:val="20"/>
                <w:lang w:val="uk-UA" w:eastAsia="uk-UA"/>
              </w:rPr>
              <w:t>Відповідність вимогам ТД так чи ні</w:t>
            </w:r>
          </w:p>
        </w:tc>
      </w:tr>
      <w:tr w:rsidR="00F87B6F" w:rsidRPr="00BD7CDF" w14:paraId="5F7C0521" w14:textId="77777777" w:rsidTr="00E4763A">
        <w:trPr>
          <w:trHeight w:val="645"/>
        </w:trPr>
        <w:tc>
          <w:tcPr>
            <w:tcW w:w="444" w:type="dxa"/>
            <w:shd w:val="clear" w:color="auto" w:fill="auto"/>
          </w:tcPr>
          <w:p w14:paraId="2A1C3BC8" w14:textId="77777777" w:rsidR="00F87B6F" w:rsidRPr="00CB7FE3" w:rsidRDefault="00F87B6F" w:rsidP="00510EF9">
            <w:pPr>
              <w:rPr>
                <w:rFonts w:eastAsia="Calibri"/>
                <w:sz w:val="20"/>
                <w:szCs w:val="20"/>
                <w:lang w:val="uk-UA" w:eastAsia="uk-UA"/>
              </w:rPr>
            </w:pPr>
            <w:r>
              <w:rPr>
                <w:rFonts w:eastAsia="Calibri"/>
                <w:sz w:val="20"/>
                <w:szCs w:val="20"/>
                <w:lang w:val="uk-UA" w:eastAsia="uk-UA"/>
              </w:rPr>
              <w:t>1.</w:t>
            </w:r>
          </w:p>
        </w:tc>
        <w:tc>
          <w:tcPr>
            <w:tcW w:w="1399" w:type="dxa"/>
            <w:shd w:val="clear" w:color="auto" w:fill="auto"/>
          </w:tcPr>
          <w:p w14:paraId="182E417F" w14:textId="58C577C4" w:rsidR="00F87B6F" w:rsidRPr="00CB7FE3" w:rsidRDefault="00E4763A" w:rsidP="00510EF9">
            <w:pPr>
              <w:rPr>
                <w:rFonts w:eastAsia="Calibri"/>
                <w:sz w:val="20"/>
                <w:szCs w:val="20"/>
                <w:lang w:val="uk-UA" w:eastAsia="uk-UA"/>
              </w:rPr>
            </w:pPr>
            <w:r>
              <w:rPr>
                <w:rFonts w:eastAsia="Calibri"/>
                <w:sz w:val="20"/>
                <w:szCs w:val="20"/>
                <w:lang w:val="uk-UA" w:eastAsia="uk-UA"/>
              </w:rPr>
              <w:t>Вогнегасник ВП-6</w:t>
            </w:r>
          </w:p>
        </w:tc>
        <w:tc>
          <w:tcPr>
            <w:tcW w:w="567" w:type="dxa"/>
            <w:shd w:val="clear" w:color="auto" w:fill="auto"/>
          </w:tcPr>
          <w:p w14:paraId="419376CF" w14:textId="4E1AA689" w:rsidR="00F87B6F" w:rsidRPr="00CB7FE3" w:rsidRDefault="00E4763A" w:rsidP="00510EF9">
            <w:pPr>
              <w:rPr>
                <w:rFonts w:eastAsia="Calibri"/>
                <w:sz w:val="20"/>
                <w:szCs w:val="20"/>
                <w:lang w:val="uk-UA" w:eastAsia="uk-UA"/>
              </w:rPr>
            </w:pPr>
            <w:proofErr w:type="spellStart"/>
            <w:r>
              <w:rPr>
                <w:rFonts w:eastAsia="Calibri"/>
                <w:sz w:val="20"/>
                <w:szCs w:val="20"/>
                <w:lang w:val="uk-UA" w:eastAsia="uk-UA"/>
              </w:rPr>
              <w:t>шт</w:t>
            </w:r>
            <w:proofErr w:type="spellEnd"/>
          </w:p>
        </w:tc>
        <w:tc>
          <w:tcPr>
            <w:tcW w:w="709" w:type="dxa"/>
            <w:shd w:val="clear" w:color="auto" w:fill="auto"/>
            <w:noWrap/>
          </w:tcPr>
          <w:p w14:paraId="5141BC97" w14:textId="5FE5AF6A" w:rsidR="00F87B6F" w:rsidRPr="00D77674" w:rsidRDefault="00AE714B" w:rsidP="00510EF9">
            <w:pPr>
              <w:rPr>
                <w:rFonts w:eastAsia="Calibri"/>
                <w:color w:val="auto"/>
                <w:sz w:val="20"/>
                <w:szCs w:val="20"/>
                <w:lang w:val="uk-UA" w:eastAsia="uk-UA"/>
              </w:rPr>
            </w:pPr>
            <w:r>
              <w:rPr>
                <w:rFonts w:eastAsia="Calibri"/>
                <w:color w:val="auto"/>
                <w:sz w:val="20"/>
                <w:szCs w:val="20"/>
                <w:lang w:val="uk-UA" w:eastAsia="uk-UA"/>
              </w:rPr>
              <w:t>50</w:t>
            </w:r>
            <w:bookmarkStart w:id="0" w:name="_GoBack"/>
            <w:bookmarkEnd w:id="0"/>
          </w:p>
        </w:tc>
        <w:tc>
          <w:tcPr>
            <w:tcW w:w="3685" w:type="dxa"/>
            <w:shd w:val="clear" w:color="auto" w:fill="auto"/>
          </w:tcPr>
          <w:p w14:paraId="04D5B1F1" w14:textId="77777777" w:rsidR="00E4763A" w:rsidRPr="00E4763A" w:rsidRDefault="00E4763A" w:rsidP="00E4763A">
            <w:pPr>
              <w:shd w:val="clear" w:color="auto" w:fill="FFFFFF"/>
              <w:rPr>
                <w:rFonts w:eastAsia="Times New Roman"/>
                <w:color w:val="auto"/>
                <w:sz w:val="20"/>
                <w:szCs w:val="20"/>
              </w:rPr>
            </w:pPr>
            <w:proofErr w:type="spellStart"/>
            <w:r w:rsidRPr="00D77674">
              <w:rPr>
                <w:rFonts w:eastAsia="Times New Roman"/>
                <w:color w:val="auto"/>
                <w:sz w:val="20"/>
                <w:szCs w:val="20"/>
              </w:rPr>
              <w:t>Маса</w:t>
            </w:r>
            <w:proofErr w:type="spellEnd"/>
            <w:r w:rsidRPr="00D77674">
              <w:rPr>
                <w:rFonts w:eastAsia="Times New Roman"/>
                <w:color w:val="auto"/>
                <w:sz w:val="20"/>
                <w:szCs w:val="20"/>
              </w:rPr>
              <w:t xml:space="preserve"> </w:t>
            </w:r>
            <w:proofErr w:type="spellStart"/>
            <w:r w:rsidRPr="00D77674">
              <w:rPr>
                <w:rFonts w:eastAsia="Times New Roman"/>
                <w:color w:val="auto"/>
                <w:sz w:val="20"/>
                <w:szCs w:val="20"/>
              </w:rPr>
              <w:t>вогнегасного</w:t>
            </w:r>
            <w:proofErr w:type="spellEnd"/>
            <w:r w:rsidRPr="00D77674">
              <w:rPr>
                <w:rFonts w:eastAsia="Times New Roman"/>
                <w:color w:val="auto"/>
                <w:sz w:val="20"/>
                <w:szCs w:val="20"/>
              </w:rPr>
              <w:t xml:space="preserve"> порошку, кг: 6±0,12</w:t>
            </w:r>
          </w:p>
          <w:p w14:paraId="15182719" w14:textId="0FDDBCEB" w:rsidR="00E4763A" w:rsidRPr="00E4763A" w:rsidRDefault="00D77674" w:rsidP="00E4763A">
            <w:pPr>
              <w:shd w:val="clear" w:color="auto" w:fill="FFFFFF"/>
              <w:rPr>
                <w:rFonts w:eastAsia="Times New Roman"/>
                <w:color w:val="auto"/>
                <w:sz w:val="20"/>
                <w:szCs w:val="20"/>
              </w:rPr>
            </w:pPr>
            <w:proofErr w:type="spellStart"/>
            <w:r>
              <w:rPr>
                <w:rFonts w:eastAsia="Times New Roman"/>
                <w:color w:val="auto"/>
                <w:sz w:val="20"/>
                <w:szCs w:val="20"/>
              </w:rPr>
              <w:t>Маса</w:t>
            </w:r>
            <w:proofErr w:type="spellEnd"/>
            <w:r>
              <w:rPr>
                <w:rFonts w:eastAsia="Times New Roman"/>
                <w:color w:val="auto"/>
                <w:sz w:val="20"/>
                <w:szCs w:val="20"/>
              </w:rPr>
              <w:t xml:space="preserve"> </w:t>
            </w:r>
            <w:proofErr w:type="spellStart"/>
            <w:r>
              <w:rPr>
                <w:rFonts w:eastAsia="Times New Roman"/>
                <w:color w:val="auto"/>
                <w:sz w:val="20"/>
                <w:szCs w:val="20"/>
              </w:rPr>
              <w:t>вогнегасника</w:t>
            </w:r>
            <w:proofErr w:type="spellEnd"/>
            <w:r>
              <w:rPr>
                <w:rFonts w:eastAsia="Times New Roman"/>
                <w:color w:val="auto"/>
                <w:sz w:val="20"/>
                <w:szCs w:val="20"/>
              </w:rPr>
              <w:t xml:space="preserve"> </w:t>
            </w:r>
            <w:proofErr w:type="spellStart"/>
            <w:r>
              <w:rPr>
                <w:rFonts w:eastAsia="Times New Roman"/>
                <w:color w:val="auto"/>
                <w:sz w:val="20"/>
                <w:szCs w:val="20"/>
              </w:rPr>
              <w:t>повна</w:t>
            </w:r>
            <w:proofErr w:type="spellEnd"/>
            <w:r>
              <w:rPr>
                <w:rFonts w:eastAsia="Times New Roman"/>
                <w:color w:val="auto"/>
                <w:sz w:val="20"/>
                <w:szCs w:val="20"/>
              </w:rPr>
              <w:t>,</w:t>
            </w:r>
            <w:r w:rsidR="00E4763A" w:rsidRPr="00D77674">
              <w:rPr>
                <w:rFonts w:eastAsia="Times New Roman"/>
                <w:color w:val="auto"/>
                <w:sz w:val="20"/>
                <w:szCs w:val="20"/>
                <w:lang w:val="uk-UA"/>
              </w:rPr>
              <w:t xml:space="preserve"> не більше </w:t>
            </w:r>
            <w:r w:rsidR="00E4763A" w:rsidRPr="00D77674">
              <w:rPr>
                <w:rFonts w:eastAsia="Times New Roman"/>
                <w:color w:val="auto"/>
                <w:sz w:val="20"/>
                <w:szCs w:val="20"/>
              </w:rPr>
              <w:t>кг: 9</w:t>
            </w:r>
          </w:p>
          <w:p w14:paraId="5D705824" w14:textId="7F0E8E3F" w:rsidR="00E4763A" w:rsidRPr="00E4763A" w:rsidRDefault="00D77674" w:rsidP="00E4763A">
            <w:pPr>
              <w:shd w:val="clear" w:color="auto" w:fill="FFFFFF"/>
              <w:rPr>
                <w:rFonts w:eastAsia="Times New Roman"/>
                <w:color w:val="auto"/>
                <w:sz w:val="20"/>
                <w:szCs w:val="20"/>
                <w:vertAlign w:val="superscript"/>
                <w:lang w:val="uk-UA"/>
              </w:rPr>
            </w:pPr>
            <w:r>
              <w:rPr>
                <w:rFonts w:eastAsia="Times New Roman"/>
                <w:color w:val="auto"/>
                <w:sz w:val="20"/>
                <w:szCs w:val="20"/>
                <w:lang w:val="uk-UA"/>
              </w:rPr>
              <w:t xml:space="preserve">Час роботи, не </w:t>
            </w:r>
            <w:proofErr w:type="spellStart"/>
            <w:r>
              <w:rPr>
                <w:rFonts w:eastAsia="Times New Roman"/>
                <w:color w:val="auto"/>
                <w:sz w:val="20"/>
                <w:szCs w:val="20"/>
                <w:lang w:val="uk-UA"/>
              </w:rPr>
              <w:t>меньше</w:t>
            </w:r>
            <w:proofErr w:type="spellEnd"/>
            <w:r>
              <w:rPr>
                <w:rFonts w:eastAsia="Times New Roman"/>
                <w:color w:val="auto"/>
                <w:sz w:val="20"/>
                <w:szCs w:val="20"/>
                <w:lang w:val="uk-UA"/>
              </w:rPr>
              <w:t xml:space="preserve"> 12сек.</w:t>
            </w:r>
          </w:p>
          <w:p w14:paraId="39F23246" w14:textId="05AD10FF" w:rsidR="00E4763A" w:rsidRPr="00D77674" w:rsidRDefault="00E4763A" w:rsidP="00E4763A">
            <w:pPr>
              <w:shd w:val="clear" w:color="auto" w:fill="FFFFFF"/>
              <w:rPr>
                <w:rFonts w:eastAsia="Times New Roman"/>
                <w:color w:val="auto"/>
                <w:sz w:val="20"/>
                <w:szCs w:val="20"/>
              </w:rPr>
            </w:pPr>
            <w:proofErr w:type="spellStart"/>
            <w:r w:rsidRPr="00D77674">
              <w:rPr>
                <w:rFonts w:eastAsia="Times New Roman"/>
                <w:color w:val="auto"/>
                <w:sz w:val="20"/>
                <w:szCs w:val="20"/>
              </w:rPr>
              <w:t>Вогнегасна</w:t>
            </w:r>
            <w:proofErr w:type="spellEnd"/>
            <w:r w:rsidRPr="00D77674">
              <w:rPr>
                <w:rFonts w:eastAsia="Times New Roman"/>
                <w:color w:val="auto"/>
                <w:sz w:val="20"/>
                <w:szCs w:val="20"/>
              </w:rPr>
              <w:t xml:space="preserve"> </w:t>
            </w:r>
            <w:proofErr w:type="spellStart"/>
            <w:r w:rsidRPr="00D77674">
              <w:rPr>
                <w:rFonts w:eastAsia="Times New Roman"/>
                <w:color w:val="auto"/>
                <w:sz w:val="20"/>
                <w:szCs w:val="20"/>
              </w:rPr>
              <w:t>здатність</w:t>
            </w:r>
            <w:proofErr w:type="spellEnd"/>
            <w:r w:rsidRPr="00D77674">
              <w:rPr>
                <w:rFonts w:eastAsia="Times New Roman"/>
                <w:color w:val="auto"/>
                <w:sz w:val="20"/>
                <w:szCs w:val="20"/>
              </w:rPr>
              <w:t xml:space="preserve">, </w:t>
            </w:r>
            <w:proofErr w:type="spellStart"/>
            <w:r w:rsidRPr="00D77674">
              <w:rPr>
                <w:rFonts w:eastAsia="Times New Roman"/>
                <w:color w:val="auto"/>
                <w:sz w:val="20"/>
                <w:szCs w:val="20"/>
              </w:rPr>
              <w:t>клас</w:t>
            </w:r>
            <w:proofErr w:type="spellEnd"/>
            <w:r w:rsidRPr="00D77674">
              <w:rPr>
                <w:rFonts w:eastAsia="Times New Roman"/>
                <w:color w:val="auto"/>
                <w:sz w:val="20"/>
                <w:szCs w:val="20"/>
              </w:rPr>
              <w:t xml:space="preserve"> А/</w:t>
            </w:r>
            <w:proofErr w:type="spellStart"/>
            <w:r w:rsidRPr="00D77674">
              <w:rPr>
                <w:rFonts w:eastAsia="Times New Roman"/>
                <w:color w:val="auto"/>
                <w:sz w:val="20"/>
                <w:szCs w:val="20"/>
              </w:rPr>
              <w:t>клас</w:t>
            </w:r>
            <w:proofErr w:type="spellEnd"/>
            <w:r w:rsidRPr="00D77674">
              <w:rPr>
                <w:rFonts w:eastAsia="Times New Roman"/>
                <w:color w:val="auto"/>
                <w:sz w:val="20"/>
                <w:szCs w:val="20"/>
              </w:rPr>
              <w:t xml:space="preserve"> В: 3А/113В</w:t>
            </w:r>
          </w:p>
          <w:p w14:paraId="5B71C1D4" w14:textId="57C8E3E7" w:rsidR="00E4763A" w:rsidRPr="00E4763A" w:rsidRDefault="00E4763A" w:rsidP="00E4763A">
            <w:pPr>
              <w:shd w:val="clear" w:color="auto" w:fill="FFFFFF"/>
              <w:rPr>
                <w:rFonts w:eastAsia="Times New Roman"/>
                <w:color w:val="auto"/>
                <w:sz w:val="20"/>
                <w:szCs w:val="20"/>
                <w:lang w:val="uk-UA"/>
              </w:rPr>
            </w:pPr>
            <w:r w:rsidRPr="00D77674">
              <w:rPr>
                <w:rFonts w:eastAsia="Times New Roman"/>
                <w:color w:val="auto"/>
                <w:sz w:val="20"/>
                <w:szCs w:val="20"/>
                <w:lang w:val="uk-UA"/>
              </w:rPr>
              <w:t>Діапазон робочих температур від -20 до +50</w:t>
            </w:r>
            <w:r w:rsidRPr="00D77674">
              <w:rPr>
                <w:color w:val="auto"/>
                <w:sz w:val="20"/>
                <w:szCs w:val="20"/>
                <w:shd w:val="clear" w:color="auto" w:fill="FFFFFF"/>
              </w:rPr>
              <w:t>°C</w:t>
            </w:r>
          </w:p>
          <w:p w14:paraId="2A6A4B57" w14:textId="77777777" w:rsidR="00F87B6F" w:rsidRPr="00D77674" w:rsidRDefault="00E4763A" w:rsidP="00E4763A">
            <w:pPr>
              <w:shd w:val="clear" w:color="auto" w:fill="FFFFFF"/>
              <w:rPr>
                <w:rFonts w:eastAsia="Times New Roman"/>
                <w:color w:val="auto"/>
                <w:sz w:val="20"/>
                <w:szCs w:val="20"/>
              </w:rPr>
            </w:pPr>
            <w:proofErr w:type="spellStart"/>
            <w:r w:rsidRPr="00D77674">
              <w:rPr>
                <w:rFonts w:eastAsia="Times New Roman"/>
                <w:color w:val="auto"/>
                <w:sz w:val="20"/>
                <w:szCs w:val="20"/>
              </w:rPr>
              <w:t>Термін</w:t>
            </w:r>
            <w:proofErr w:type="spellEnd"/>
            <w:r w:rsidRPr="00D77674">
              <w:rPr>
                <w:rFonts w:eastAsia="Times New Roman"/>
                <w:color w:val="auto"/>
                <w:sz w:val="20"/>
                <w:szCs w:val="20"/>
              </w:rPr>
              <w:t xml:space="preserve"> </w:t>
            </w:r>
            <w:proofErr w:type="spellStart"/>
            <w:r w:rsidRPr="00D77674">
              <w:rPr>
                <w:rFonts w:eastAsia="Times New Roman"/>
                <w:color w:val="auto"/>
                <w:sz w:val="20"/>
                <w:szCs w:val="20"/>
              </w:rPr>
              <w:t>служби</w:t>
            </w:r>
            <w:proofErr w:type="spellEnd"/>
            <w:r w:rsidRPr="00D77674">
              <w:rPr>
                <w:rFonts w:eastAsia="Times New Roman"/>
                <w:color w:val="auto"/>
                <w:sz w:val="20"/>
                <w:szCs w:val="20"/>
              </w:rPr>
              <w:t xml:space="preserve">: 10 </w:t>
            </w:r>
            <w:proofErr w:type="spellStart"/>
            <w:r w:rsidRPr="00D77674">
              <w:rPr>
                <w:rFonts w:eastAsia="Times New Roman"/>
                <w:color w:val="auto"/>
                <w:sz w:val="20"/>
                <w:szCs w:val="20"/>
              </w:rPr>
              <w:t>років</w:t>
            </w:r>
            <w:proofErr w:type="spellEnd"/>
            <w:r w:rsidRPr="00D77674">
              <w:rPr>
                <w:rFonts w:eastAsia="Times New Roman"/>
                <w:color w:val="auto"/>
                <w:sz w:val="20"/>
                <w:szCs w:val="20"/>
              </w:rPr>
              <w:t>.</w:t>
            </w:r>
          </w:p>
          <w:p w14:paraId="3271BDE6" w14:textId="59B53352" w:rsidR="00E4763A" w:rsidRPr="00D77674" w:rsidRDefault="00E4763A" w:rsidP="00E4763A">
            <w:pPr>
              <w:shd w:val="clear" w:color="auto" w:fill="FFFFFF"/>
              <w:rPr>
                <w:rFonts w:eastAsia="Times New Roman"/>
                <w:color w:val="auto"/>
                <w:sz w:val="20"/>
                <w:szCs w:val="20"/>
              </w:rPr>
            </w:pPr>
            <w:proofErr w:type="spellStart"/>
            <w:r w:rsidRPr="00D77674">
              <w:rPr>
                <w:color w:val="auto"/>
                <w:sz w:val="20"/>
                <w:szCs w:val="20"/>
                <w:shd w:val="clear" w:color="auto" w:fill="FFFFFF"/>
              </w:rPr>
              <w:t>Вогнегасник</w:t>
            </w:r>
            <w:proofErr w:type="spellEnd"/>
            <w:r w:rsidRPr="00D77674">
              <w:rPr>
                <w:color w:val="auto"/>
                <w:sz w:val="20"/>
                <w:szCs w:val="20"/>
                <w:shd w:val="clear" w:color="auto" w:fill="FFFFFF"/>
              </w:rPr>
              <w:t xml:space="preserve"> </w:t>
            </w:r>
            <w:r w:rsidRPr="00D77674">
              <w:rPr>
                <w:color w:val="auto"/>
                <w:sz w:val="20"/>
                <w:szCs w:val="20"/>
                <w:shd w:val="clear" w:color="auto" w:fill="FFFFFF"/>
                <w:lang w:val="uk-UA"/>
              </w:rPr>
              <w:t xml:space="preserve">повинен </w:t>
            </w:r>
            <w:proofErr w:type="spellStart"/>
            <w:r w:rsidRPr="00D77674">
              <w:rPr>
                <w:color w:val="auto"/>
                <w:sz w:val="20"/>
                <w:szCs w:val="20"/>
                <w:shd w:val="clear" w:color="auto" w:fill="FFFFFF"/>
              </w:rPr>
              <w:t>комплектується</w:t>
            </w:r>
            <w:proofErr w:type="spellEnd"/>
            <w:r w:rsidRPr="00D77674">
              <w:rPr>
                <w:color w:val="auto"/>
                <w:sz w:val="20"/>
                <w:szCs w:val="20"/>
                <w:shd w:val="clear" w:color="auto" w:fill="FFFFFF"/>
              </w:rPr>
              <w:t xml:space="preserve"> </w:t>
            </w:r>
            <w:proofErr w:type="spellStart"/>
            <w:r w:rsidRPr="00D77674">
              <w:rPr>
                <w:color w:val="auto"/>
                <w:sz w:val="20"/>
                <w:szCs w:val="20"/>
                <w:shd w:val="clear" w:color="auto" w:fill="FFFFFF"/>
              </w:rPr>
              <w:t>гнучким</w:t>
            </w:r>
            <w:proofErr w:type="spellEnd"/>
            <w:r w:rsidRPr="00D77674">
              <w:rPr>
                <w:color w:val="auto"/>
                <w:sz w:val="20"/>
                <w:szCs w:val="20"/>
                <w:shd w:val="clear" w:color="auto" w:fill="FFFFFF"/>
              </w:rPr>
              <w:t xml:space="preserve"> шлангом з наконечником.</w:t>
            </w:r>
          </w:p>
        </w:tc>
        <w:tc>
          <w:tcPr>
            <w:tcW w:w="1843" w:type="dxa"/>
          </w:tcPr>
          <w:p w14:paraId="508EFD2A" w14:textId="77777777" w:rsidR="00F87B6F" w:rsidRPr="00CB7FE3" w:rsidRDefault="00F87B6F" w:rsidP="00510EF9">
            <w:pPr>
              <w:rPr>
                <w:rFonts w:eastAsia="Calibri"/>
                <w:sz w:val="20"/>
                <w:szCs w:val="20"/>
                <w:lang w:val="uk-UA" w:eastAsia="uk-UA"/>
              </w:rPr>
            </w:pPr>
          </w:p>
        </w:tc>
        <w:tc>
          <w:tcPr>
            <w:tcW w:w="1543" w:type="dxa"/>
          </w:tcPr>
          <w:p w14:paraId="18932195" w14:textId="77777777" w:rsidR="00F87B6F" w:rsidRPr="00CB7FE3" w:rsidRDefault="00F87B6F" w:rsidP="00510EF9">
            <w:pPr>
              <w:rPr>
                <w:rFonts w:eastAsia="Calibri"/>
                <w:sz w:val="20"/>
                <w:szCs w:val="20"/>
                <w:lang w:val="uk-UA" w:eastAsia="uk-UA"/>
              </w:rPr>
            </w:pPr>
          </w:p>
        </w:tc>
      </w:tr>
    </w:tbl>
    <w:p w14:paraId="33DD9F14" w14:textId="77777777" w:rsidR="00F87B6F" w:rsidRDefault="00F87B6F" w:rsidP="00F87B6F">
      <w:pPr>
        <w:spacing w:after="120"/>
        <w:ind w:firstLine="360"/>
        <w:jc w:val="both"/>
        <w:rPr>
          <w:rFonts w:eastAsia="Times New Roman"/>
          <w:color w:val="auto"/>
          <w:lang w:val="uk-UA"/>
        </w:rPr>
      </w:pPr>
    </w:p>
    <w:p w14:paraId="582C7ECE" w14:textId="77777777" w:rsidR="00F87B6F" w:rsidRPr="00A84E28" w:rsidRDefault="00F87B6F" w:rsidP="00E57D7C">
      <w:pPr>
        <w:ind w:firstLine="567"/>
        <w:jc w:val="both"/>
        <w:rPr>
          <w:rFonts w:eastAsia="Times New Roman"/>
          <w:color w:val="auto"/>
          <w:lang w:val="uk-UA"/>
        </w:rPr>
      </w:pPr>
      <w:r w:rsidRPr="00A84E28">
        <w:rPr>
          <w:rFonts w:eastAsia="Times New Roman"/>
          <w:color w:val="auto"/>
          <w:lang w:val="uk-UA"/>
        </w:rPr>
        <w:lastRenderedPageBreak/>
        <w:t xml:space="preserve">Учасник в складі пропозиції повинен надати нижчезазначені документи, що підтверджують характеристики  </w:t>
      </w:r>
      <w:r>
        <w:rPr>
          <w:rFonts w:eastAsia="Times New Roman"/>
          <w:color w:val="auto"/>
          <w:lang w:val="uk-UA"/>
        </w:rPr>
        <w:t>товару</w:t>
      </w:r>
      <w:r w:rsidRPr="00A84E28">
        <w:rPr>
          <w:rFonts w:eastAsia="Times New Roman"/>
          <w:color w:val="auto"/>
          <w:lang w:val="uk-UA"/>
        </w:rPr>
        <w:t>:</w:t>
      </w:r>
    </w:p>
    <w:p w14:paraId="3E099C0C" w14:textId="34E85C64" w:rsidR="00F87B6F" w:rsidRPr="00A96225" w:rsidRDefault="00E4763A" w:rsidP="00E57D7C">
      <w:pPr>
        <w:pStyle w:val="a3"/>
        <w:numPr>
          <w:ilvl w:val="0"/>
          <w:numId w:val="2"/>
        </w:numPr>
        <w:ind w:left="0" w:right="107" w:firstLine="567"/>
        <w:jc w:val="both"/>
        <w:rPr>
          <w:noProof/>
        </w:rPr>
      </w:pPr>
      <w:r w:rsidRPr="00201621">
        <w:rPr>
          <w:color w:val="auto"/>
          <w:lang w:val="uk-UA"/>
        </w:rPr>
        <w:t>Копію сертифікату відповідності (</w:t>
      </w:r>
      <w:r w:rsidRPr="00201621">
        <w:rPr>
          <w:color w:val="auto"/>
          <w:shd w:val="clear" w:color="auto" w:fill="FFFFFF"/>
          <w:lang w:val="uk-UA"/>
        </w:rPr>
        <w:t>ДСТУ 3675-98</w:t>
      </w:r>
      <w:r w:rsidRPr="00201621">
        <w:rPr>
          <w:color w:val="auto"/>
          <w:shd w:val="clear" w:color="auto" w:fill="FFFFFF"/>
        </w:rPr>
        <w:t>  </w:t>
      </w:r>
      <w:proofErr w:type="spellStart"/>
      <w:r w:rsidRPr="00201621">
        <w:rPr>
          <w:color w:val="auto"/>
          <w:shd w:val="clear" w:color="auto" w:fill="FFFFFF"/>
        </w:rPr>
        <w:t>Пожежна</w:t>
      </w:r>
      <w:proofErr w:type="spellEnd"/>
      <w:r w:rsidRPr="00201621">
        <w:rPr>
          <w:color w:val="auto"/>
          <w:shd w:val="clear" w:color="auto" w:fill="FFFFFF"/>
        </w:rPr>
        <w:t xml:space="preserve"> </w:t>
      </w:r>
      <w:proofErr w:type="spellStart"/>
      <w:r w:rsidRPr="00201621">
        <w:rPr>
          <w:color w:val="auto"/>
          <w:shd w:val="clear" w:color="auto" w:fill="FFFFFF"/>
        </w:rPr>
        <w:t>техніка</w:t>
      </w:r>
      <w:proofErr w:type="spellEnd"/>
      <w:r w:rsidRPr="00201621">
        <w:rPr>
          <w:color w:val="auto"/>
          <w:shd w:val="clear" w:color="auto" w:fill="FFFFFF"/>
        </w:rPr>
        <w:t xml:space="preserve">. </w:t>
      </w:r>
      <w:proofErr w:type="spellStart"/>
      <w:r w:rsidRPr="00201621">
        <w:rPr>
          <w:color w:val="auto"/>
          <w:shd w:val="clear" w:color="auto" w:fill="FFFFFF"/>
        </w:rPr>
        <w:t>Вогнегасники</w:t>
      </w:r>
      <w:proofErr w:type="spellEnd"/>
      <w:r w:rsidRPr="00201621">
        <w:rPr>
          <w:color w:val="auto"/>
          <w:shd w:val="clear" w:color="auto" w:fill="FFFFFF"/>
        </w:rPr>
        <w:t xml:space="preserve"> </w:t>
      </w:r>
      <w:proofErr w:type="spellStart"/>
      <w:r w:rsidRPr="00201621">
        <w:rPr>
          <w:color w:val="auto"/>
          <w:shd w:val="clear" w:color="auto" w:fill="FFFFFF"/>
        </w:rPr>
        <w:t>переносні</w:t>
      </w:r>
      <w:proofErr w:type="spellEnd"/>
      <w:r w:rsidRPr="00201621">
        <w:rPr>
          <w:color w:val="auto"/>
          <w:shd w:val="clear" w:color="auto" w:fill="FFFFFF"/>
        </w:rPr>
        <w:t xml:space="preserve">. </w:t>
      </w:r>
      <w:proofErr w:type="spellStart"/>
      <w:r w:rsidRPr="00201621">
        <w:rPr>
          <w:color w:val="auto"/>
          <w:shd w:val="clear" w:color="auto" w:fill="FFFFFF"/>
        </w:rPr>
        <w:t>Загальні</w:t>
      </w:r>
      <w:proofErr w:type="spellEnd"/>
      <w:r w:rsidRPr="00201621">
        <w:rPr>
          <w:color w:val="auto"/>
          <w:shd w:val="clear" w:color="auto" w:fill="FFFFFF"/>
        </w:rPr>
        <w:t xml:space="preserve"> </w:t>
      </w:r>
      <w:proofErr w:type="spellStart"/>
      <w:r w:rsidRPr="00201621">
        <w:rPr>
          <w:color w:val="auto"/>
          <w:shd w:val="clear" w:color="auto" w:fill="FFFFFF"/>
        </w:rPr>
        <w:t>технічні</w:t>
      </w:r>
      <w:proofErr w:type="spellEnd"/>
      <w:r w:rsidRPr="00201621">
        <w:rPr>
          <w:color w:val="auto"/>
          <w:shd w:val="clear" w:color="auto" w:fill="FFFFFF"/>
        </w:rPr>
        <w:t xml:space="preserve"> </w:t>
      </w:r>
      <w:proofErr w:type="spellStart"/>
      <w:r w:rsidRPr="00201621">
        <w:rPr>
          <w:color w:val="auto"/>
          <w:shd w:val="clear" w:color="auto" w:fill="FFFFFF"/>
        </w:rPr>
        <w:t>вимоги</w:t>
      </w:r>
      <w:proofErr w:type="spellEnd"/>
      <w:r w:rsidRPr="00201621">
        <w:rPr>
          <w:color w:val="auto"/>
          <w:shd w:val="clear" w:color="auto" w:fill="FFFFFF"/>
        </w:rPr>
        <w:t xml:space="preserve"> та </w:t>
      </w:r>
      <w:proofErr w:type="spellStart"/>
      <w:r w:rsidRPr="00201621">
        <w:rPr>
          <w:color w:val="auto"/>
          <w:shd w:val="clear" w:color="auto" w:fill="FFFFFF"/>
        </w:rPr>
        <w:t>методи</w:t>
      </w:r>
      <w:proofErr w:type="spellEnd"/>
      <w:r w:rsidRPr="00201621">
        <w:rPr>
          <w:color w:val="auto"/>
          <w:shd w:val="clear" w:color="auto" w:fill="FFFFFF"/>
        </w:rPr>
        <w:t xml:space="preserve"> </w:t>
      </w:r>
      <w:proofErr w:type="spellStart"/>
      <w:r w:rsidRPr="00201621">
        <w:rPr>
          <w:color w:val="auto"/>
          <w:shd w:val="clear" w:color="auto" w:fill="FFFFFF"/>
        </w:rPr>
        <w:t>випробувань</w:t>
      </w:r>
      <w:proofErr w:type="spellEnd"/>
      <w:r w:rsidRPr="00201621">
        <w:rPr>
          <w:color w:val="auto"/>
          <w:shd w:val="clear" w:color="auto" w:fill="FFFFFF"/>
        </w:rPr>
        <w:t xml:space="preserve">. </w:t>
      </w:r>
      <w:proofErr w:type="spellStart"/>
      <w:r w:rsidRPr="00201621">
        <w:rPr>
          <w:color w:val="auto"/>
          <w:shd w:val="clear" w:color="auto" w:fill="FFFFFF"/>
        </w:rPr>
        <w:t>Зі</w:t>
      </w:r>
      <w:proofErr w:type="spellEnd"/>
      <w:r w:rsidRPr="00201621">
        <w:rPr>
          <w:color w:val="auto"/>
          <w:shd w:val="clear" w:color="auto" w:fill="FFFFFF"/>
        </w:rPr>
        <w:t xml:space="preserve"> </w:t>
      </w:r>
      <w:proofErr w:type="spellStart"/>
      <w:r w:rsidRPr="00201621">
        <w:rPr>
          <w:color w:val="auto"/>
          <w:shd w:val="clear" w:color="auto" w:fill="FFFFFF"/>
        </w:rPr>
        <w:t>Зміною</w:t>
      </w:r>
      <w:proofErr w:type="spellEnd"/>
      <w:r w:rsidRPr="00201621">
        <w:rPr>
          <w:color w:val="auto"/>
          <w:shd w:val="clear" w:color="auto" w:fill="FFFFFF"/>
        </w:rPr>
        <w:t xml:space="preserve"> № 1 (ІПС № 8-2004)</w:t>
      </w:r>
      <w:r w:rsidRPr="00201621">
        <w:rPr>
          <w:color w:val="auto"/>
          <w:lang w:val="uk-UA"/>
        </w:rPr>
        <w:t xml:space="preserve">) </w:t>
      </w:r>
      <w:proofErr w:type="gramStart"/>
      <w:r w:rsidRPr="00201621">
        <w:rPr>
          <w:color w:val="auto"/>
          <w:lang w:val="uk-UA"/>
        </w:rPr>
        <w:t xml:space="preserve">та </w:t>
      </w:r>
      <w:r w:rsidRPr="00201621">
        <w:rPr>
          <w:color w:val="auto"/>
          <w:shd w:val="clear" w:color="auto" w:fill="FFFFFF"/>
        </w:rPr>
        <w:t xml:space="preserve"> паспорт</w:t>
      </w:r>
      <w:r w:rsidRPr="00201621">
        <w:rPr>
          <w:color w:val="auto"/>
          <w:shd w:val="clear" w:color="auto" w:fill="FFFFFF"/>
          <w:lang w:val="uk-UA"/>
        </w:rPr>
        <w:t>у</w:t>
      </w:r>
      <w:proofErr w:type="gramEnd"/>
      <w:r w:rsidRPr="00201621">
        <w:rPr>
          <w:color w:val="auto"/>
          <w:shd w:val="clear" w:color="auto" w:fill="FFFFFF"/>
        </w:rPr>
        <w:t xml:space="preserve"> заводу-</w:t>
      </w:r>
      <w:proofErr w:type="spellStart"/>
      <w:r w:rsidRPr="00201621">
        <w:rPr>
          <w:color w:val="auto"/>
          <w:shd w:val="clear" w:color="auto" w:fill="FFFFFF"/>
        </w:rPr>
        <w:t>виробника</w:t>
      </w:r>
      <w:proofErr w:type="spellEnd"/>
      <w:r w:rsidR="00F87B6F" w:rsidRPr="005C522E">
        <w:rPr>
          <w:noProof/>
        </w:rPr>
        <w:t>, із зазначенням усіх технічних показників наведених у цьому додатку</w:t>
      </w:r>
      <w:r w:rsidR="00F87B6F" w:rsidRPr="00A96225">
        <w:rPr>
          <w:noProof/>
        </w:rPr>
        <w:t>.</w:t>
      </w:r>
    </w:p>
    <w:p w14:paraId="4DB3E0D8" w14:textId="77777777" w:rsidR="00F87B6F" w:rsidRPr="00A16BCD" w:rsidRDefault="00F87B6F" w:rsidP="00E57D7C">
      <w:pPr>
        <w:ind w:firstLine="567"/>
        <w:jc w:val="both"/>
        <w:rPr>
          <w:rFonts w:eastAsia="Times New Roman"/>
          <w:color w:val="auto"/>
          <w:lang w:val="uk-UA"/>
        </w:rPr>
      </w:pPr>
      <w:r w:rsidRPr="00A16BCD">
        <w:rPr>
          <w:rFonts w:eastAsia="Times New Roman"/>
          <w:color w:val="auto"/>
          <w:lang w:val="uk-UA"/>
        </w:rPr>
        <w:t>Будь-яке посилання у цьому Додатку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мається на увазі «або еквівалент».</w:t>
      </w:r>
    </w:p>
    <w:p w14:paraId="08C5AC78" w14:textId="77777777" w:rsidR="00F87B6F" w:rsidRPr="00A16BCD" w:rsidRDefault="00F87B6F" w:rsidP="00E57D7C">
      <w:pPr>
        <w:ind w:firstLine="567"/>
        <w:jc w:val="both"/>
        <w:rPr>
          <w:rFonts w:eastAsia="Times New Roman"/>
          <w:color w:val="auto"/>
          <w:lang w:val="uk-UA"/>
        </w:rPr>
      </w:pPr>
      <w:r w:rsidRPr="00A16BCD">
        <w:rPr>
          <w:rFonts w:eastAsia="Times New Roman"/>
          <w:color w:val="auto"/>
          <w:lang w:val="uk-UA"/>
        </w:rPr>
        <w:t>Будь-яке посилання, в тендерній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мається на увазі «або еквівалент».</w:t>
      </w:r>
    </w:p>
    <w:p w14:paraId="22761D96" w14:textId="77777777" w:rsidR="00F87B6F" w:rsidRPr="00A16BCD" w:rsidRDefault="00F87B6F" w:rsidP="00E57D7C">
      <w:pPr>
        <w:ind w:firstLine="567"/>
        <w:jc w:val="both"/>
        <w:rPr>
          <w:rFonts w:eastAsia="Times New Roman"/>
          <w:color w:val="auto"/>
          <w:lang w:val="uk-UA"/>
        </w:rPr>
      </w:pPr>
      <w:r w:rsidRPr="00A16BCD">
        <w:rPr>
          <w:rFonts w:eastAsia="Times New Roman"/>
          <w:color w:val="auto"/>
          <w:lang w:val="uk-UA"/>
        </w:rPr>
        <w:t>Учасник процедури закупівлі має право запропонувати Замовнику товар аналогічний (еквівалент) зазначеному у цьому Додатку за умови, що технічні характеристики такого товару не будуть гіршими від наведених у тендерній документації.</w:t>
      </w:r>
    </w:p>
    <w:p w14:paraId="2859BA7E" w14:textId="77777777" w:rsidR="00F87B6F" w:rsidRPr="00A16BCD" w:rsidRDefault="00F87B6F" w:rsidP="00E57D7C">
      <w:pPr>
        <w:ind w:firstLine="567"/>
        <w:jc w:val="both"/>
        <w:rPr>
          <w:rFonts w:eastAsia="Times New Roman"/>
          <w:color w:val="auto"/>
          <w:lang w:val="uk-UA"/>
        </w:rPr>
      </w:pPr>
      <w:r w:rsidRPr="00A16BCD">
        <w:rPr>
          <w:rFonts w:eastAsia="Times New Roman"/>
          <w:color w:val="auto"/>
          <w:lang w:val="uk-UA"/>
        </w:rPr>
        <w:t xml:space="preserve">Документи, що не передбачені законодавством для Учасників юридичних чи фізичних осіб, у тому числі фізичних осіб-підприємців, не подаються ними у складі тендерної пропозиції. </w:t>
      </w:r>
    </w:p>
    <w:p w14:paraId="155433B1" w14:textId="77777777" w:rsidR="00F87B6F" w:rsidRPr="00A16BCD" w:rsidRDefault="00F87B6F" w:rsidP="00E57D7C">
      <w:pPr>
        <w:ind w:firstLine="567"/>
        <w:jc w:val="both"/>
        <w:rPr>
          <w:rFonts w:eastAsia="Times New Roman"/>
          <w:color w:val="auto"/>
          <w:lang w:val="uk-UA"/>
        </w:rPr>
      </w:pPr>
      <w:r w:rsidRPr="00A16BCD">
        <w:rPr>
          <w:rFonts w:eastAsia="Times New Roman"/>
          <w:color w:val="auto"/>
          <w:lang w:val="uk-UA"/>
        </w:rPr>
        <w:t>У разі ненадання будь-якого документу відповідно до вимог тендерної документації, Учасник повинен надати Довідку в довільній формі з переліком таких документів та з обґрунтуванням підстав щодо ненадання таких документів або надає іншій документ, якщо таке передбачено тендерною документацією.</w:t>
      </w:r>
    </w:p>
    <w:p w14:paraId="5A4FBE74" w14:textId="77777777" w:rsidR="00F87B6F" w:rsidRPr="00A16BCD" w:rsidRDefault="00F87B6F" w:rsidP="00E57D7C">
      <w:pPr>
        <w:ind w:firstLine="567"/>
        <w:jc w:val="both"/>
        <w:rPr>
          <w:rFonts w:eastAsia="Times New Roman"/>
          <w:color w:val="auto"/>
          <w:lang w:val="uk-UA"/>
        </w:rPr>
      </w:pPr>
      <w:r w:rsidRPr="00A16BCD">
        <w:rPr>
          <w:rFonts w:eastAsia="Times New Roman"/>
          <w:color w:val="auto"/>
          <w:lang w:val="uk-UA"/>
        </w:rPr>
        <w:t>При посиланні в цій Тендерній документації на конкретну марку предмета закупівлі, торговельну марку чи фірму, патент, конструкцію або тип у найменуваннях за предметом закупівлі, джерело його походження або виробника, слід вважати в наявності вираз «або еквівалент» відповідно до Закону України «Про публічні закупівлі» (зі змінами).</w:t>
      </w:r>
    </w:p>
    <w:p w14:paraId="404A47F9" w14:textId="77777777" w:rsidR="00F87B6F" w:rsidRPr="00A16BCD" w:rsidRDefault="00F87B6F" w:rsidP="00E57D7C">
      <w:pPr>
        <w:ind w:firstLine="567"/>
        <w:jc w:val="both"/>
        <w:rPr>
          <w:rFonts w:eastAsia="Times New Roman"/>
          <w:color w:val="auto"/>
          <w:lang w:val="uk-UA"/>
        </w:rPr>
      </w:pPr>
      <w:r w:rsidRPr="00A16BCD">
        <w:rPr>
          <w:rFonts w:eastAsia="Times New Roman"/>
          <w:color w:val="auto"/>
          <w:lang w:val="uk-UA"/>
        </w:rPr>
        <w:t>У випадку, якщо у торгах приймає участь філія (представництво) юридичної особи, цей Учасник має додатково надати в складі його тендерної пропозиції, копію документу, що підтверджує повноваження зазначеної юридичної особи на участь даного Учасника у цих торгах.</w:t>
      </w:r>
    </w:p>
    <w:p w14:paraId="7CB80182" w14:textId="77777777" w:rsidR="00F87B6F" w:rsidRDefault="00F87B6F" w:rsidP="00E57D7C">
      <w:pPr>
        <w:ind w:firstLine="567"/>
        <w:jc w:val="both"/>
        <w:rPr>
          <w:rFonts w:eastAsia="Times New Roman"/>
          <w:color w:val="auto"/>
          <w:lang w:val="uk-UA"/>
        </w:rPr>
      </w:pPr>
      <w:r w:rsidRPr="00A16BCD">
        <w:rPr>
          <w:rFonts w:eastAsia="Times New Roman"/>
          <w:color w:val="auto"/>
          <w:lang w:val="uk-UA"/>
        </w:rPr>
        <w:t>Будь-яка інформація від імені Учасника у формі довідок, листів, тощо підписується уповноваженою особою та скріплюється печаткою.</w:t>
      </w:r>
    </w:p>
    <w:p w14:paraId="330EABBE" w14:textId="77777777" w:rsidR="00403F26" w:rsidRPr="00F87B6F" w:rsidRDefault="00403F26" w:rsidP="00E57D7C">
      <w:pPr>
        <w:ind w:firstLine="567"/>
        <w:jc w:val="both"/>
        <w:rPr>
          <w:lang w:val="uk-UA"/>
        </w:rPr>
      </w:pPr>
    </w:p>
    <w:sectPr w:rsidR="00403F26" w:rsidRPr="00F87B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3F42BFE"/>
    <w:multiLevelType w:val="hybridMultilevel"/>
    <w:tmpl w:val="2DFEC64A"/>
    <w:lvl w:ilvl="0" w:tplc="4F2A842C">
      <w:start w:val="1"/>
      <w:numFmt w:val="decimal"/>
      <w:suff w:val="space"/>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23"/>
    <w:rsid w:val="00255E23"/>
    <w:rsid w:val="003014EE"/>
    <w:rsid w:val="00403F26"/>
    <w:rsid w:val="00507169"/>
    <w:rsid w:val="0058666C"/>
    <w:rsid w:val="00811E5A"/>
    <w:rsid w:val="00897D9B"/>
    <w:rsid w:val="009839DB"/>
    <w:rsid w:val="009D7051"/>
    <w:rsid w:val="00AE714B"/>
    <w:rsid w:val="00C07EA2"/>
    <w:rsid w:val="00D77674"/>
    <w:rsid w:val="00E01E85"/>
    <w:rsid w:val="00E4763A"/>
    <w:rsid w:val="00E57D7C"/>
    <w:rsid w:val="00F87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A1BF"/>
  <w15:chartTrackingRefBased/>
  <w15:docId w15:val="{29301325-1E6C-4A1A-A2C1-DBA572A3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169"/>
    <w:pPr>
      <w:spacing w:after="0" w:line="240" w:lineRule="auto"/>
    </w:pPr>
    <w:rPr>
      <w:rFonts w:ascii="Times New Roman" w:eastAsia="Arial"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Список уровня 2,название табл/рис,заголовок 1.1"/>
    <w:basedOn w:val="a"/>
    <w:link w:val="a4"/>
    <w:uiPriority w:val="34"/>
    <w:qFormat/>
    <w:rsid w:val="00507169"/>
    <w:pPr>
      <w:ind w:left="720"/>
      <w:contextualSpacing/>
    </w:pPr>
  </w:style>
  <w:style w:type="character" w:customStyle="1" w:styleId="a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
    <w:link w:val="a3"/>
    <w:uiPriority w:val="34"/>
    <w:locked/>
    <w:rsid w:val="00507169"/>
    <w:rPr>
      <w:rFonts w:ascii="Times New Roman" w:eastAsia="Arial" w:hAnsi="Times New Roman" w:cs="Times New Roman"/>
      <w:color w:val="00000A"/>
      <w:sz w:val="24"/>
      <w:szCs w:val="24"/>
      <w:lang w:eastAsia="ru-RU"/>
    </w:rPr>
  </w:style>
  <w:style w:type="character" w:customStyle="1" w:styleId="td5">
    <w:name w:val="td5"/>
    <w:basedOn w:val="a0"/>
    <w:rsid w:val="00E4763A"/>
  </w:style>
  <w:style w:type="character" w:styleId="a5">
    <w:name w:val="Hyperlink"/>
    <w:basedOn w:val="a0"/>
    <w:uiPriority w:val="99"/>
    <w:semiHidden/>
    <w:unhideWhenUsed/>
    <w:rsid w:val="00E476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28673">
      <w:bodyDiv w:val="1"/>
      <w:marLeft w:val="0"/>
      <w:marRight w:val="0"/>
      <w:marTop w:val="0"/>
      <w:marBottom w:val="0"/>
      <w:divBdr>
        <w:top w:val="none" w:sz="0" w:space="0" w:color="auto"/>
        <w:left w:val="none" w:sz="0" w:space="0" w:color="auto"/>
        <w:bottom w:val="none" w:sz="0" w:space="0" w:color="auto"/>
        <w:right w:val="none" w:sz="0" w:space="0" w:color="auto"/>
      </w:divBdr>
    </w:div>
    <w:div w:id="1321423097">
      <w:bodyDiv w:val="1"/>
      <w:marLeft w:val="0"/>
      <w:marRight w:val="0"/>
      <w:marTop w:val="0"/>
      <w:marBottom w:val="0"/>
      <w:divBdr>
        <w:top w:val="none" w:sz="0" w:space="0" w:color="auto"/>
        <w:left w:val="none" w:sz="0" w:space="0" w:color="auto"/>
        <w:bottom w:val="none" w:sz="0" w:space="0" w:color="auto"/>
        <w:right w:val="none" w:sz="0" w:space="0" w:color="auto"/>
      </w:divBdr>
    </w:div>
    <w:div w:id="1467696750">
      <w:bodyDiv w:val="1"/>
      <w:marLeft w:val="0"/>
      <w:marRight w:val="0"/>
      <w:marTop w:val="0"/>
      <w:marBottom w:val="0"/>
      <w:divBdr>
        <w:top w:val="none" w:sz="0" w:space="0" w:color="auto"/>
        <w:left w:val="none" w:sz="0" w:space="0" w:color="auto"/>
        <w:bottom w:val="none" w:sz="0" w:space="0" w:color="auto"/>
        <w:right w:val="none" w:sz="0" w:space="0" w:color="auto"/>
      </w:divBdr>
      <w:divsChild>
        <w:div w:id="679547778">
          <w:marLeft w:val="0"/>
          <w:marRight w:val="0"/>
          <w:marTop w:val="0"/>
          <w:marBottom w:val="0"/>
          <w:divBdr>
            <w:top w:val="none" w:sz="0" w:space="0" w:color="auto"/>
            <w:left w:val="none" w:sz="0" w:space="0" w:color="auto"/>
            <w:bottom w:val="none" w:sz="0" w:space="0" w:color="auto"/>
            <w:right w:val="none" w:sz="0" w:space="0" w:color="auto"/>
          </w:divBdr>
        </w:div>
        <w:div w:id="1955866922">
          <w:marLeft w:val="0"/>
          <w:marRight w:val="0"/>
          <w:marTop w:val="0"/>
          <w:marBottom w:val="0"/>
          <w:divBdr>
            <w:top w:val="none" w:sz="0" w:space="0" w:color="auto"/>
            <w:left w:val="none" w:sz="0" w:space="0" w:color="auto"/>
            <w:bottom w:val="none" w:sz="0" w:space="0" w:color="auto"/>
            <w:right w:val="none" w:sz="0" w:space="0" w:color="auto"/>
          </w:divBdr>
        </w:div>
        <w:div w:id="1465731352">
          <w:marLeft w:val="0"/>
          <w:marRight w:val="0"/>
          <w:marTop w:val="0"/>
          <w:marBottom w:val="0"/>
          <w:divBdr>
            <w:top w:val="none" w:sz="0" w:space="0" w:color="auto"/>
            <w:left w:val="none" w:sz="0" w:space="0" w:color="auto"/>
            <w:bottom w:val="none" w:sz="0" w:space="0" w:color="auto"/>
            <w:right w:val="none" w:sz="0" w:space="0" w:color="auto"/>
          </w:divBdr>
        </w:div>
        <w:div w:id="859125247">
          <w:marLeft w:val="0"/>
          <w:marRight w:val="0"/>
          <w:marTop w:val="0"/>
          <w:marBottom w:val="0"/>
          <w:divBdr>
            <w:top w:val="none" w:sz="0" w:space="0" w:color="auto"/>
            <w:left w:val="none" w:sz="0" w:space="0" w:color="auto"/>
            <w:bottom w:val="none" w:sz="0" w:space="0" w:color="auto"/>
            <w:right w:val="none" w:sz="0" w:space="0" w:color="auto"/>
          </w:divBdr>
        </w:div>
        <w:div w:id="229466977">
          <w:marLeft w:val="0"/>
          <w:marRight w:val="0"/>
          <w:marTop w:val="0"/>
          <w:marBottom w:val="0"/>
          <w:divBdr>
            <w:top w:val="none" w:sz="0" w:space="0" w:color="auto"/>
            <w:left w:val="none" w:sz="0" w:space="0" w:color="auto"/>
            <w:bottom w:val="none" w:sz="0" w:space="0" w:color="auto"/>
            <w:right w:val="none" w:sz="0" w:space="0" w:color="auto"/>
          </w:divBdr>
        </w:div>
        <w:div w:id="982657583">
          <w:marLeft w:val="0"/>
          <w:marRight w:val="0"/>
          <w:marTop w:val="0"/>
          <w:marBottom w:val="0"/>
          <w:divBdr>
            <w:top w:val="none" w:sz="0" w:space="0" w:color="auto"/>
            <w:left w:val="none" w:sz="0" w:space="0" w:color="auto"/>
            <w:bottom w:val="none" w:sz="0" w:space="0" w:color="auto"/>
            <w:right w:val="none" w:sz="0" w:space="0" w:color="auto"/>
          </w:divBdr>
          <w:divsChild>
            <w:div w:id="6273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738</Words>
  <Characters>4207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dc:creator>
  <cp:keywords/>
  <dc:description/>
  <cp:lastModifiedBy>RePack by Diakov</cp:lastModifiedBy>
  <cp:revision>15</cp:revision>
  <dcterms:created xsi:type="dcterms:W3CDTF">2023-07-27T09:22:00Z</dcterms:created>
  <dcterms:modified xsi:type="dcterms:W3CDTF">2024-02-28T08:57:00Z</dcterms:modified>
</cp:coreProperties>
</file>