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A21CFD">
        <w:rPr>
          <w:rFonts w:ascii="Times New Roman" w:eastAsia="Times New Roman" w:hAnsi="Times New Roman" w:cs="Times New Roman"/>
          <w:bCs/>
          <w:noProof/>
          <w:lang w:val="uk-UA" w:eastAsia="uk-UA"/>
        </w:rPr>
        <w:t>з</w:t>
      </w:r>
      <w:r w:rsidR="00807C2C" w:rsidRPr="00A21CFD">
        <w:rPr>
          <w:rFonts w:ascii="Times New Roman" w:eastAsia="Times New Roman" w:hAnsi="Times New Roman" w:cs="Times New Roman"/>
          <w:bCs/>
          <w:noProof/>
          <w:lang w:val="uk-UA" w:eastAsia="uk-UA"/>
        </w:rPr>
        <w:t>атверджене Протокольним</w:t>
      </w:r>
      <w:r w:rsidR="00040891" w:rsidRPr="00A21CFD">
        <w:rPr>
          <w:rFonts w:ascii="Times New Roman" w:eastAsia="Times New Roman" w:hAnsi="Times New Roman" w:cs="Times New Roman"/>
          <w:bCs/>
          <w:noProof/>
          <w:lang w:val="uk-UA" w:eastAsia="uk-UA"/>
        </w:rPr>
        <w:t xml:space="preserve"> рішенням уповноваженої </w:t>
      </w:r>
      <w:r w:rsidR="00040891" w:rsidRPr="00B06B56">
        <w:rPr>
          <w:rFonts w:ascii="Times New Roman" w:eastAsia="Times New Roman" w:hAnsi="Times New Roman" w:cs="Times New Roman"/>
          <w:bCs/>
          <w:noProof/>
          <w:lang w:val="uk-UA" w:eastAsia="uk-UA"/>
        </w:rPr>
        <w:t xml:space="preserve">особи </w:t>
      </w:r>
      <w:r w:rsidR="00040891" w:rsidRPr="00FD7577">
        <w:rPr>
          <w:rFonts w:ascii="Times New Roman" w:eastAsia="Times New Roman" w:hAnsi="Times New Roman" w:cs="Times New Roman"/>
          <w:bCs/>
          <w:noProof/>
          <w:lang w:val="uk-UA" w:eastAsia="uk-UA"/>
        </w:rPr>
        <w:t>№</w:t>
      </w:r>
      <w:r w:rsidR="00FD7577" w:rsidRPr="00FD7577">
        <w:rPr>
          <w:rFonts w:ascii="Times New Roman" w:eastAsia="Times New Roman" w:hAnsi="Times New Roman" w:cs="Times New Roman"/>
          <w:bCs/>
          <w:noProof/>
          <w:lang w:val="uk-UA" w:eastAsia="uk-UA"/>
        </w:rPr>
        <w:t>66</w:t>
      </w:r>
      <w:r w:rsidR="0059079B" w:rsidRPr="00FD7577">
        <w:rPr>
          <w:rFonts w:ascii="Times New Roman" w:eastAsia="Times New Roman" w:hAnsi="Times New Roman" w:cs="Times New Roman"/>
          <w:bCs/>
          <w:noProof/>
          <w:lang w:val="uk-UA" w:eastAsia="uk-UA"/>
        </w:rPr>
        <w:t xml:space="preserve"> </w:t>
      </w:r>
      <w:r w:rsidR="007B0542" w:rsidRPr="00FD7577">
        <w:rPr>
          <w:rFonts w:ascii="Times New Roman" w:eastAsia="Times New Roman" w:hAnsi="Times New Roman" w:cs="Times New Roman"/>
          <w:bCs/>
          <w:noProof/>
          <w:lang w:val="uk-UA" w:eastAsia="uk-UA"/>
        </w:rPr>
        <w:t xml:space="preserve">від </w:t>
      </w:r>
      <w:r w:rsidR="00FD7577" w:rsidRPr="00FD7577">
        <w:rPr>
          <w:rFonts w:ascii="Times New Roman" w:eastAsia="Times New Roman" w:hAnsi="Times New Roman" w:cs="Times New Roman"/>
          <w:bCs/>
          <w:noProof/>
          <w:lang w:val="uk-UA" w:eastAsia="uk-UA"/>
        </w:rPr>
        <w:t>27</w:t>
      </w:r>
      <w:r w:rsidR="0028119B" w:rsidRPr="00FD7577">
        <w:rPr>
          <w:rFonts w:ascii="Times New Roman" w:eastAsia="Times New Roman" w:hAnsi="Times New Roman" w:cs="Times New Roman"/>
          <w:bCs/>
          <w:noProof/>
          <w:lang w:val="uk-UA" w:eastAsia="uk-UA"/>
        </w:rPr>
        <w:t>.03</w:t>
      </w:r>
      <w:r w:rsidR="00A21CFD" w:rsidRPr="00FD7577">
        <w:rPr>
          <w:rFonts w:ascii="Times New Roman" w:eastAsia="Times New Roman" w:hAnsi="Times New Roman" w:cs="Times New Roman"/>
          <w:bCs/>
          <w:noProof/>
          <w:lang w:val="uk-UA" w:eastAsia="uk-UA"/>
        </w:rPr>
        <w:t>.</w:t>
      </w:r>
      <w:r w:rsidR="00442B1E" w:rsidRPr="00FD7577">
        <w:rPr>
          <w:rFonts w:ascii="Times New Roman" w:eastAsia="Times New Roman" w:hAnsi="Times New Roman" w:cs="Times New Roman"/>
          <w:bCs/>
          <w:noProof/>
          <w:lang w:val="uk-UA" w:eastAsia="uk-UA"/>
        </w:rPr>
        <w:t>2024</w:t>
      </w:r>
      <w:r w:rsidR="00807C2C" w:rsidRPr="00FD7577">
        <w:rPr>
          <w:rFonts w:ascii="Times New Roman" w:eastAsia="Times New Roman" w:hAnsi="Times New Roman" w:cs="Times New Roman"/>
          <w:bCs/>
          <w:noProof/>
          <w:lang w:val="uk-UA" w:eastAsia="uk-UA"/>
        </w:rPr>
        <w:t xml:space="preserve"> р</w:t>
      </w:r>
      <w:r w:rsidR="00665292" w:rsidRPr="00FD7577">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4B3447" w:rsidRDefault="009F11B4" w:rsidP="004B3447">
      <w:pPr>
        <w:spacing w:after="0" w:line="240" w:lineRule="auto"/>
        <w:jc w:val="center"/>
        <w:rPr>
          <w:rFonts w:ascii="Times New Roman" w:hAnsi="Times New Roman" w:cs="Times New Roman"/>
          <w:lang w:val="uk-UA"/>
        </w:rPr>
      </w:pPr>
      <w:r w:rsidRPr="004B3447">
        <w:rPr>
          <w:rFonts w:ascii="Times New Roman" w:hAnsi="Times New Roman" w:cs="Times New Roman"/>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sidRPr="004B3447">
        <w:rPr>
          <w:rFonts w:ascii="Times New Roman" w:hAnsi="Times New Roman" w:cs="Times New Roman"/>
          <w:lang w:val="uk-UA"/>
        </w:rPr>
        <w:t xml:space="preserve"> зі змінами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4B3447"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FD7577" w:rsidRDefault="00FD7577" w:rsidP="00FD7577">
                  <w:pPr>
                    <w:spacing w:after="0" w:line="240" w:lineRule="auto"/>
                    <w:ind w:left="-81"/>
                    <w:textAlignment w:val="baseline"/>
                    <w:rPr>
                      <w:lang w:val="uk-UA"/>
                    </w:rPr>
                  </w:pPr>
                  <w:r w:rsidRPr="00FD7577">
                    <w:rPr>
                      <w:rFonts w:ascii="Times New Roman" w:hAnsi="Times New Roman" w:cs="Times New Roman"/>
                      <w:b/>
                      <w:lang w:val="uk-UA"/>
                    </w:rPr>
                    <w:t>Поточний ремонт асфальтного покриття по вулиці</w:t>
                  </w:r>
                  <w:r w:rsidRPr="00FD7577">
                    <w:rPr>
                      <w:rFonts w:ascii="Times New Roman" w:hAnsi="Times New Roman" w:cs="Times New Roman"/>
                      <w:b/>
                      <w:i/>
                      <w:lang w:val="uk-UA"/>
                    </w:rPr>
                    <w:t xml:space="preserve"> </w:t>
                  </w:r>
                  <w:r w:rsidRPr="00FD7577">
                    <w:rPr>
                      <w:rFonts w:ascii="Times New Roman" w:hAnsi="Times New Roman" w:cs="Times New Roman"/>
                      <w:b/>
                      <w:lang w:val="uk-UA"/>
                    </w:rPr>
                    <w:t>Степана Бандери (заїзди до автобусних зупинок) в місті Нововолинськ Волинської області</w:t>
                  </w:r>
                  <w:r w:rsidRPr="00DC1040">
                    <w:rPr>
                      <w:lang w:val="uk-UA"/>
                    </w:rPr>
                    <w:t xml:space="preserve"> </w:t>
                  </w:r>
                </w:p>
                <w:p w:rsidR="0015686C" w:rsidRPr="009740D3" w:rsidRDefault="009740D3" w:rsidP="00FD7577">
                  <w:pPr>
                    <w:spacing w:after="0" w:line="240" w:lineRule="auto"/>
                    <w:ind w:left="-81"/>
                    <w:textAlignment w:val="baseline"/>
                    <w:rPr>
                      <w:rFonts w:ascii="Times New Roman" w:eastAsia="Times New Roman" w:hAnsi="Times New Roman" w:cs="Times New Roman"/>
                      <w:b/>
                      <w:color w:val="000000" w:themeColor="text1"/>
                      <w:lang w:eastAsia="uk-UA"/>
                    </w:rPr>
                  </w:pPr>
                  <w:r w:rsidRPr="009740D3">
                    <w:rPr>
                      <w:rFonts w:ascii="Times New Roman" w:hAnsi="Times New Roman" w:cs="Times New Roman"/>
                      <w:b/>
                    </w:rPr>
                    <w:t xml:space="preserve">за кодом за ДК 021:2015:45230000-8 – </w:t>
                  </w:r>
                  <w:proofErr w:type="spellStart"/>
                  <w:r w:rsidRPr="009740D3">
                    <w:rPr>
                      <w:rFonts w:ascii="Times New Roman" w:hAnsi="Times New Roman" w:cs="Times New Roman"/>
                      <w:b/>
                    </w:rPr>
                    <w:t>Будівництво</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трубопроводів</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ліній</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зв’язку</w:t>
                  </w:r>
                  <w:proofErr w:type="spellEnd"/>
                  <w:r w:rsidRPr="009740D3">
                    <w:rPr>
                      <w:rFonts w:ascii="Times New Roman" w:hAnsi="Times New Roman" w:cs="Times New Roman"/>
                      <w:b/>
                    </w:rPr>
                    <w:t xml:space="preserve"> та електропередач, </w:t>
                  </w:r>
                  <w:proofErr w:type="spellStart"/>
                  <w:r w:rsidRPr="009740D3">
                    <w:rPr>
                      <w:rFonts w:ascii="Times New Roman" w:hAnsi="Times New Roman" w:cs="Times New Roman"/>
                      <w:b/>
                    </w:rPr>
                    <w:t>шосе</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доріг</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аеродромів</w:t>
                  </w:r>
                  <w:proofErr w:type="spellEnd"/>
                  <w:r w:rsidRPr="009740D3">
                    <w:rPr>
                      <w:rFonts w:ascii="Times New Roman" w:hAnsi="Times New Roman" w:cs="Times New Roman"/>
                      <w:b/>
                    </w:rPr>
                    <w:t xml:space="preserve"> і </w:t>
                  </w:r>
                  <w:proofErr w:type="spellStart"/>
                  <w:r w:rsidRPr="009740D3">
                    <w:rPr>
                      <w:rFonts w:ascii="Times New Roman" w:hAnsi="Times New Roman" w:cs="Times New Roman"/>
                      <w:b/>
                    </w:rPr>
                    <w:t>залізничних</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доріг</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вирівнювання</w:t>
                  </w:r>
                  <w:proofErr w:type="spellEnd"/>
                  <w:r w:rsidRPr="009740D3">
                    <w:rPr>
                      <w:rFonts w:ascii="Times New Roman" w:hAnsi="Times New Roman" w:cs="Times New Roman"/>
                      <w:b/>
                    </w:rPr>
                    <w:t xml:space="preserve"> </w:t>
                  </w:r>
                  <w:proofErr w:type="spellStart"/>
                  <w:r w:rsidRPr="009740D3">
                    <w:rPr>
                      <w:rFonts w:ascii="Times New Roman" w:hAnsi="Times New Roman" w:cs="Times New Roman"/>
                      <w:b/>
                    </w:rPr>
                    <w:t>поверхонь</w:t>
                  </w:r>
                  <w:proofErr w:type="spellEnd"/>
                </w:p>
              </w:tc>
            </w:tr>
          </w:tbl>
          <w:p w:rsidR="0015686C" w:rsidRPr="007F4CDE" w:rsidRDefault="0015686C" w:rsidP="0015686C">
            <w:pPr>
              <w:spacing w:after="0" w:line="240" w:lineRule="auto"/>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9740D3" w:rsidP="00856382">
            <w:pPr>
              <w:spacing w:after="0" w:line="240" w:lineRule="auto"/>
              <w:jc w:val="both"/>
              <w:rPr>
                <w:rFonts w:ascii="Times New Roman" w:hAnsi="Times New Roman" w:cs="Times New Roman"/>
                <w:b/>
                <w:lang w:val="uk-UA"/>
              </w:rPr>
            </w:pPr>
            <w:r>
              <w:rPr>
                <w:rFonts w:ascii="Times New Roman" w:hAnsi="Times New Roman" w:cs="Times New Roman"/>
                <w:lang w:val="uk-UA"/>
              </w:rPr>
              <w:t>1 послуга</w:t>
            </w:r>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9740D3">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009740D3">
              <w:rPr>
                <w:rFonts w:ascii="Times New Roman" w:hAnsi="Times New Roman" w:cs="Times New Roman"/>
                <w:shd w:val="clear" w:color="auto" w:fill="FFFFFF"/>
                <w:lang w:val="uk-UA"/>
              </w:rPr>
              <w:t xml:space="preserve"> </w:t>
            </w:r>
            <w:r w:rsidR="009740D3">
              <w:rPr>
                <w:rFonts w:ascii="Times New Roman" w:hAnsi="Times New Roman" w:cs="Times New Roman"/>
                <w:bCs/>
                <w:lang w:val="uk-UA"/>
              </w:rPr>
              <w:t>вул. Степана Бандери</w:t>
            </w:r>
            <w:r w:rsidR="0065552B">
              <w:rPr>
                <w:rFonts w:ascii="Times New Roman" w:hAnsi="Times New Roman" w:cs="Times New Roman"/>
                <w:bCs/>
                <w:lang w:val="uk-UA"/>
              </w:rPr>
              <w:t xml:space="preserve">, </w:t>
            </w:r>
            <w:r w:rsidRPr="00856382">
              <w:rPr>
                <w:rFonts w:ascii="Times New Roman" w:hAnsi="Times New Roman" w:cs="Times New Roman"/>
                <w:bCs/>
                <w:lang w:val="uk-UA"/>
              </w:rPr>
              <w:t>м</w:t>
            </w:r>
            <w:r w:rsidRPr="0065552B">
              <w:t>.</w:t>
            </w:r>
            <w:r w:rsidR="0065552B">
              <w:rPr>
                <w:rFonts w:ascii="Times New Roman" w:hAnsi="Times New Roman" w:cs="Times New Roman"/>
                <w:bCs/>
                <w:lang w:val="uk-UA"/>
              </w:rPr>
              <w:t> </w:t>
            </w:r>
            <w:r w:rsidRPr="00856382">
              <w:rPr>
                <w:rFonts w:ascii="Times New Roman" w:hAnsi="Times New Roman" w:cs="Times New Roman"/>
                <w:bCs/>
                <w:lang w:val="uk-UA"/>
              </w:rPr>
              <w:t>Нововолинськ, Волинська обл., Україна, 45400</w:t>
            </w:r>
          </w:p>
        </w:tc>
      </w:tr>
      <w:tr w:rsidR="007F4CDE" w:rsidRPr="007F4CDE" w:rsidTr="00A16EB0">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A16EB0" w:rsidRDefault="0015686C" w:rsidP="0015686C">
            <w:pPr>
              <w:spacing w:after="0" w:line="240" w:lineRule="auto"/>
              <w:rPr>
                <w:rFonts w:ascii="Times New Roman" w:eastAsia="Times New Roman" w:hAnsi="Times New Roman" w:cs="Times New Roman"/>
                <w:lang w:val="uk-UA"/>
              </w:rPr>
            </w:pPr>
            <w:r w:rsidRPr="00A16EB0">
              <w:rPr>
                <w:rFonts w:ascii="Times New Roman" w:eastAsia="Times New Roman" w:hAnsi="Times New Roman" w:cs="Times New Roman"/>
                <w:lang w:val="uk-UA"/>
              </w:rPr>
              <w:t>очікувана вартість предмета закупівлі;</w:t>
            </w:r>
          </w:p>
        </w:tc>
        <w:tc>
          <w:tcPr>
            <w:tcW w:w="5528" w:type="dxa"/>
            <w:shd w:val="clear" w:color="auto" w:fill="auto"/>
          </w:tcPr>
          <w:p w:rsidR="0015686C" w:rsidRPr="00A16EB0" w:rsidRDefault="00A5140F" w:rsidP="00F40BD1">
            <w:pPr>
              <w:spacing w:after="0" w:line="240" w:lineRule="auto"/>
              <w:jc w:val="both"/>
              <w:rPr>
                <w:rFonts w:ascii="Times New Roman" w:hAnsi="Times New Roman" w:cs="Times New Roman"/>
                <w:b/>
                <w:lang w:val="uk-UA"/>
              </w:rPr>
            </w:pPr>
            <w:r w:rsidRPr="00A16EB0">
              <w:rPr>
                <w:rFonts w:ascii="Times New Roman" w:hAnsi="Times New Roman" w:cs="Times New Roman"/>
                <w:b/>
                <w:lang w:val="uk-UA"/>
              </w:rPr>
              <w:t xml:space="preserve">584 </w:t>
            </w:r>
            <w:r w:rsidR="0024239D" w:rsidRPr="00A16EB0">
              <w:rPr>
                <w:rFonts w:ascii="Times New Roman" w:hAnsi="Times New Roman" w:cs="Times New Roman"/>
                <w:b/>
                <w:lang w:val="uk-UA"/>
              </w:rPr>
              <w:t>000</w:t>
            </w:r>
            <w:r w:rsidR="0015686C" w:rsidRPr="00A16EB0">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A16EB0" w:rsidRDefault="0015686C" w:rsidP="0015686C">
            <w:pPr>
              <w:spacing w:after="0" w:line="240" w:lineRule="auto"/>
              <w:rPr>
                <w:rFonts w:ascii="Times New Roman" w:eastAsia="Times New Roman" w:hAnsi="Times New Roman" w:cs="Times New Roman"/>
                <w:lang w:val="uk-UA"/>
              </w:rPr>
            </w:pPr>
            <w:r w:rsidRPr="00A16EB0">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A16EB0" w:rsidRDefault="00A5140F" w:rsidP="000D471D">
            <w:pPr>
              <w:spacing w:after="0" w:line="240" w:lineRule="auto"/>
              <w:jc w:val="both"/>
              <w:rPr>
                <w:rFonts w:ascii="Times New Roman" w:hAnsi="Times New Roman" w:cs="Times New Roman"/>
                <w:b/>
                <w:lang w:val="uk-UA"/>
              </w:rPr>
            </w:pPr>
            <w:r w:rsidRPr="00A16EB0">
              <w:rPr>
                <w:rFonts w:ascii="Times New Roman" w:hAnsi="Times New Roman" w:cs="Times New Roman"/>
                <w:lang w:val="uk-UA"/>
              </w:rPr>
              <w:t>3</w:t>
            </w:r>
            <w:r w:rsidR="000D471D" w:rsidRPr="00A16EB0">
              <w:rPr>
                <w:rFonts w:ascii="Times New Roman" w:hAnsi="Times New Roman" w:cs="Times New Roman"/>
                <w:lang w:val="uk-UA"/>
              </w:rPr>
              <w:t>0</w:t>
            </w:r>
            <w:r w:rsidR="0024239D" w:rsidRPr="00A16EB0">
              <w:rPr>
                <w:rFonts w:ascii="Times New Roman" w:hAnsi="Times New Roman" w:cs="Times New Roman"/>
                <w:lang w:val="uk-UA"/>
              </w:rPr>
              <w:t>.0</w:t>
            </w:r>
            <w:r w:rsidR="000D471D" w:rsidRPr="00A16EB0">
              <w:rPr>
                <w:rFonts w:ascii="Times New Roman" w:hAnsi="Times New Roman" w:cs="Times New Roman"/>
                <w:lang w:val="uk-UA"/>
              </w:rPr>
              <w:t>4</w:t>
            </w:r>
            <w:r w:rsidR="0015686C" w:rsidRPr="00A16EB0">
              <w:rPr>
                <w:rFonts w:ascii="Times New Roman" w:hAnsi="Times New Roman" w:cs="Times New Roman"/>
                <w:lang w:val="uk-UA"/>
              </w:rPr>
              <w:t>.2024 року</w:t>
            </w:r>
          </w:p>
        </w:tc>
      </w:tr>
      <w:tr w:rsidR="007F4CDE" w:rsidRPr="007F4CDE" w:rsidTr="0024239D">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shd w:val="clear" w:color="auto" w:fill="auto"/>
          </w:tcPr>
          <w:p w:rsidR="0015686C" w:rsidRPr="0024239D" w:rsidRDefault="00A5140F" w:rsidP="00A5140F">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04</w:t>
            </w:r>
            <w:r w:rsidR="00584062" w:rsidRPr="0024239D">
              <w:rPr>
                <w:rFonts w:ascii="Times New Roman" w:eastAsia="Times New Roman" w:hAnsi="Times New Roman" w:cs="Times New Roman"/>
                <w:lang w:val="uk-UA" w:eastAsia="uk-UA"/>
              </w:rPr>
              <w:t>.0</w:t>
            </w:r>
            <w:r>
              <w:rPr>
                <w:rFonts w:ascii="Times New Roman" w:eastAsia="Times New Roman" w:hAnsi="Times New Roman" w:cs="Times New Roman"/>
                <w:lang w:val="uk-UA" w:eastAsia="uk-UA"/>
              </w:rPr>
              <w:t>4</w:t>
            </w:r>
            <w:r w:rsidR="0015686C" w:rsidRPr="0024239D">
              <w:rPr>
                <w:rFonts w:ascii="Times New Roman" w:eastAsia="Times New Roman" w:hAnsi="Times New Roman" w:cs="Times New Roman"/>
                <w:lang w:val="uk-UA" w:eastAsia="uk-UA"/>
              </w:rPr>
              <w:t>.2024р.</w:t>
            </w:r>
          </w:p>
        </w:tc>
      </w:tr>
      <w:tr w:rsidR="007F4CDE" w:rsidRPr="007F4CDE" w:rsidTr="00C25E4C">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shd w:val="clear" w:color="auto" w:fill="auto"/>
          </w:tcPr>
          <w:p w:rsidR="0015686C" w:rsidRPr="00C25E4C" w:rsidRDefault="00C25E4C" w:rsidP="002625F3">
            <w:pPr>
              <w:spacing w:after="0" w:line="240" w:lineRule="auto"/>
              <w:ind w:left="34"/>
              <w:jc w:val="both"/>
              <w:rPr>
                <w:rFonts w:ascii="Times New Roman" w:eastAsia="Times New Roman" w:hAnsi="Times New Roman" w:cs="Times New Roman"/>
                <w:lang w:val="uk-UA" w:eastAsia="uk-UA"/>
              </w:rPr>
            </w:pPr>
            <w:r w:rsidRPr="00C25E4C">
              <w:rPr>
                <w:rFonts w:ascii="Times New Roman" w:hAnsi="Times New Roman" w:cs="Times New Roman"/>
                <w:lang w:val="uk-UA"/>
              </w:rPr>
              <w:t>Розрахунки за надані послуги здійснюються Замовником шляхом перерахування коштів на поточний рахунок Виконавця, зазначений у Договорі, на підставі належним чином оформлених актів приймання-передачі наданих послуг (в тому числі пр</w:t>
            </w:r>
            <w:bookmarkStart w:id="0" w:name="_GoBack"/>
            <w:bookmarkEnd w:id="0"/>
            <w:r w:rsidRPr="00C25E4C">
              <w:rPr>
                <w:rFonts w:ascii="Times New Roman" w:hAnsi="Times New Roman" w:cs="Times New Roman"/>
                <w:lang w:val="uk-UA"/>
              </w:rPr>
              <w:t>оміжних), підписаних уповноважених представниками Сторін протягом 10 робочих днів від дати підписання актів</w:t>
            </w:r>
          </w:p>
        </w:tc>
      </w:tr>
      <w:tr w:rsidR="007F4CDE" w:rsidRPr="004B3447"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Під час проведення процедур закупівель усі документи, що готуються замовником, викладаються українською </w:t>
            </w:r>
            <w:r w:rsidRPr="007F4CDE">
              <w:rPr>
                <w:rFonts w:ascii="Times New Roman" w:eastAsia="Times New Roman" w:hAnsi="Times New Roman" w:cs="Times New Roman"/>
                <w:lang w:val="uk-UA"/>
              </w:rPr>
              <w:lastRenderedPageBreak/>
              <w:t>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4B3447"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7F4CDE">
              <w:rPr>
                <w:rFonts w:ascii="Times New Roman" w:eastAsia="Times New Roman" w:hAnsi="Times New Roman" w:cs="Times New Roman"/>
                <w:highlight w:val="white"/>
                <w:lang w:val="uk-UA"/>
              </w:rPr>
              <w:lastRenderedPageBreak/>
              <w:t xml:space="preserve">пунктом </w:t>
            </w:r>
            <w:hyperlink r:id="rId4" w:anchor="n159">
              <w:r w:rsidRPr="007F4CDE">
                <w:rPr>
                  <w:rFonts w:ascii="Times New Roman" w:eastAsia="Times New Roman" w:hAnsi="Times New Roman" w:cs="Times New Roman"/>
                  <w:highlight w:val="white"/>
                  <w:lang w:val="uk-UA"/>
                </w:rPr>
                <w:t>47</w:t>
              </w:r>
            </w:hyperlink>
            <w:r w:rsidRPr="007F4CDE">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2625F3" w:rsidRDefault="009740D3" w:rsidP="002625F3">
            <w:pPr>
              <w:spacing w:after="0" w:line="240" w:lineRule="auto"/>
              <w:ind w:left="34"/>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Кошти місцевого бюджету</w:t>
            </w:r>
          </w:p>
        </w:tc>
      </w:tr>
      <w:tr w:rsidR="007F4CDE" w:rsidRPr="004B3447"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9740D3">
              <w:rPr>
                <w:rFonts w:ascii="Times New Roman" w:hAnsi="Times New Roman" w:cs="Times New Roman"/>
                <w:lang w:val="uk-UA"/>
              </w:rPr>
              <w:t>послуг</w:t>
            </w:r>
            <w:r w:rsidRPr="00425E53">
              <w:rPr>
                <w:rFonts w:ascii="Times New Roman" w:hAnsi="Times New Roman" w:cs="Times New Roman"/>
                <w:lang w:val="uk-UA"/>
              </w:rPr>
              <w:t xml:space="preserve"> на підставі планової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 xml:space="preserve">ахунок </w:t>
            </w:r>
            <w:r w:rsidR="009740D3">
              <w:rPr>
                <w:rFonts w:ascii="Times New Roman" w:hAnsi="Times New Roman" w:cs="Times New Roman"/>
                <w:lang w:val="uk-UA" w:eastAsia="zh-CN"/>
              </w:rPr>
              <w:t>коштів місцевого бюджету.</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 xml:space="preserve">Для проведення закупівлі було </w:t>
            </w:r>
            <w:r w:rsidR="009740D3">
              <w:rPr>
                <w:rFonts w:ascii="Times New Roman" w:hAnsi="Times New Roman" w:cs="Times New Roman"/>
                <w:lang w:val="uk-UA"/>
              </w:rPr>
              <w:t>сформовано дефектний акт із залученням відповідальних працівників підприємства</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Pr>
                <w:rFonts w:ascii="Times New Roman" w:hAnsi="Times New Roman" w:cs="Times New Roman"/>
                <w:shd w:val="clear" w:color="auto" w:fill="FFFFFF"/>
                <w:lang w:val="uk-UA"/>
              </w:rPr>
              <w:t xml:space="preserve">отримання інформації </w:t>
            </w:r>
            <w:r w:rsidR="00F40BD1">
              <w:rPr>
                <w:rFonts w:ascii="Times New Roman" w:hAnsi="Times New Roman" w:cs="Times New Roman"/>
                <w:shd w:val="clear" w:color="auto" w:fill="FFFFFF"/>
                <w:lang w:val="uk-UA"/>
              </w:rPr>
              <w:t xml:space="preserve">в телефонному режимі від </w:t>
            </w:r>
            <w:r>
              <w:rPr>
                <w:rFonts w:ascii="Times New Roman" w:hAnsi="Times New Roman" w:cs="Times New Roman"/>
                <w:shd w:val="clear" w:color="auto" w:fill="FFFFFF"/>
                <w:lang w:val="uk-UA"/>
              </w:rPr>
              <w:t>потенційних постачальників</w:t>
            </w:r>
            <w:r w:rsidR="009740D3">
              <w:rPr>
                <w:rFonts w:ascii="Times New Roman" w:hAnsi="Times New Roman" w:cs="Times New Roman"/>
                <w:shd w:val="clear" w:color="auto" w:fill="FFFFFF"/>
                <w:lang w:val="uk-UA"/>
              </w:rPr>
              <w:t>.</w:t>
            </w:r>
          </w:p>
          <w:p w:rsidR="0015686C" w:rsidRPr="002524D6" w:rsidRDefault="002524D6" w:rsidP="009740D3">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 xml:space="preserve">кісні характеристики визначено відповідно до особливостей </w:t>
            </w:r>
            <w:r w:rsidR="009740D3">
              <w:rPr>
                <w:rFonts w:ascii="Times New Roman" w:hAnsi="Times New Roman" w:cs="Times New Roman"/>
                <w:lang w:val="uk-UA"/>
              </w:rPr>
              <w:t>надання послуг з поточного ремонту автомобільних доріг</w:t>
            </w:r>
            <w:r w:rsidRPr="008B65E2">
              <w:rPr>
                <w:rFonts w:ascii="Times New Roman" w:hAnsi="Times New Roman" w:cs="Times New Roman"/>
                <w:lang w:val="uk-UA"/>
              </w:rPr>
              <w:t xml:space="preserve">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D471D"/>
    <w:rsid w:val="000E2FD2"/>
    <w:rsid w:val="0010728D"/>
    <w:rsid w:val="00112B25"/>
    <w:rsid w:val="00134B78"/>
    <w:rsid w:val="00150496"/>
    <w:rsid w:val="00152E65"/>
    <w:rsid w:val="0015686C"/>
    <w:rsid w:val="00167022"/>
    <w:rsid w:val="00175A85"/>
    <w:rsid w:val="001772E2"/>
    <w:rsid w:val="001927EF"/>
    <w:rsid w:val="0019762A"/>
    <w:rsid w:val="001C7B6F"/>
    <w:rsid w:val="001D3C25"/>
    <w:rsid w:val="001E2BDF"/>
    <w:rsid w:val="001E6437"/>
    <w:rsid w:val="0024239D"/>
    <w:rsid w:val="00243744"/>
    <w:rsid w:val="00247389"/>
    <w:rsid w:val="002524D6"/>
    <w:rsid w:val="002625F3"/>
    <w:rsid w:val="0028119B"/>
    <w:rsid w:val="002931A6"/>
    <w:rsid w:val="00295D34"/>
    <w:rsid w:val="002C387F"/>
    <w:rsid w:val="002D6B70"/>
    <w:rsid w:val="002D73D2"/>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B3447"/>
    <w:rsid w:val="004D00C7"/>
    <w:rsid w:val="004D45D7"/>
    <w:rsid w:val="004D6D76"/>
    <w:rsid w:val="004E21A8"/>
    <w:rsid w:val="004F6499"/>
    <w:rsid w:val="00505443"/>
    <w:rsid w:val="00515C77"/>
    <w:rsid w:val="005203F4"/>
    <w:rsid w:val="00557F7D"/>
    <w:rsid w:val="00584062"/>
    <w:rsid w:val="0059079B"/>
    <w:rsid w:val="00590AD2"/>
    <w:rsid w:val="005A12D2"/>
    <w:rsid w:val="005B4DDC"/>
    <w:rsid w:val="00611277"/>
    <w:rsid w:val="00633366"/>
    <w:rsid w:val="0065552B"/>
    <w:rsid w:val="00665292"/>
    <w:rsid w:val="00670629"/>
    <w:rsid w:val="006A25D1"/>
    <w:rsid w:val="006C0EBE"/>
    <w:rsid w:val="006E52FB"/>
    <w:rsid w:val="006F16AC"/>
    <w:rsid w:val="006F6485"/>
    <w:rsid w:val="007114FF"/>
    <w:rsid w:val="00717D27"/>
    <w:rsid w:val="00720E71"/>
    <w:rsid w:val="007216BB"/>
    <w:rsid w:val="0076524C"/>
    <w:rsid w:val="007A53E7"/>
    <w:rsid w:val="007B0542"/>
    <w:rsid w:val="007B242C"/>
    <w:rsid w:val="007B53CD"/>
    <w:rsid w:val="007C241B"/>
    <w:rsid w:val="007E42B1"/>
    <w:rsid w:val="007F4CDE"/>
    <w:rsid w:val="00807C2C"/>
    <w:rsid w:val="00856382"/>
    <w:rsid w:val="00863DA3"/>
    <w:rsid w:val="0087720D"/>
    <w:rsid w:val="008A09C9"/>
    <w:rsid w:val="009148C7"/>
    <w:rsid w:val="00951C17"/>
    <w:rsid w:val="009740D3"/>
    <w:rsid w:val="009D7032"/>
    <w:rsid w:val="009E22E4"/>
    <w:rsid w:val="009E561A"/>
    <w:rsid w:val="009F11B4"/>
    <w:rsid w:val="009F7C3C"/>
    <w:rsid w:val="00A11ACE"/>
    <w:rsid w:val="00A16EB0"/>
    <w:rsid w:val="00A21CFD"/>
    <w:rsid w:val="00A37155"/>
    <w:rsid w:val="00A5140F"/>
    <w:rsid w:val="00A9549C"/>
    <w:rsid w:val="00AC41F5"/>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25E4C"/>
    <w:rsid w:val="00C43F97"/>
    <w:rsid w:val="00C54999"/>
    <w:rsid w:val="00C8464B"/>
    <w:rsid w:val="00CB3029"/>
    <w:rsid w:val="00CB3340"/>
    <w:rsid w:val="00D26B22"/>
    <w:rsid w:val="00D44F4A"/>
    <w:rsid w:val="00D67CA8"/>
    <w:rsid w:val="00D85C6D"/>
    <w:rsid w:val="00DA0870"/>
    <w:rsid w:val="00DC5184"/>
    <w:rsid w:val="00E17F43"/>
    <w:rsid w:val="00E25648"/>
    <w:rsid w:val="00E65F58"/>
    <w:rsid w:val="00E7124D"/>
    <w:rsid w:val="00E72F44"/>
    <w:rsid w:val="00E97FD9"/>
    <w:rsid w:val="00F00328"/>
    <w:rsid w:val="00F13BCE"/>
    <w:rsid w:val="00F3115E"/>
    <w:rsid w:val="00F40053"/>
    <w:rsid w:val="00F40BD1"/>
    <w:rsid w:val="00F678B4"/>
    <w:rsid w:val="00F718DC"/>
    <w:rsid w:val="00F73464"/>
    <w:rsid w:val="00F82C37"/>
    <w:rsid w:val="00F92B1D"/>
    <w:rsid w:val="00FC6E4C"/>
    <w:rsid w:val="00FD7577"/>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983E"/>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 w:id="1135830056">
      <w:bodyDiv w:val="1"/>
      <w:marLeft w:val="0"/>
      <w:marRight w:val="0"/>
      <w:marTop w:val="0"/>
      <w:marBottom w:val="0"/>
      <w:divBdr>
        <w:top w:val="none" w:sz="0" w:space="0" w:color="auto"/>
        <w:left w:val="none" w:sz="0" w:space="0" w:color="auto"/>
        <w:bottom w:val="none" w:sz="0" w:space="0" w:color="auto"/>
        <w:right w:val="none" w:sz="0" w:space="0" w:color="auto"/>
      </w:divBdr>
    </w:div>
    <w:div w:id="1201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3</Pages>
  <Words>5664</Words>
  <Characters>3229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111</cp:revision>
  <cp:lastPrinted>2023-01-04T07:01:00Z</cp:lastPrinted>
  <dcterms:created xsi:type="dcterms:W3CDTF">2020-08-25T06:12:00Z</dcterms:created>
  <dcterms:modified xsi:type="dcterms:W3CDTF">2024-03-27T11:14:00Z</dcterms:modified>
</cp:coreProperties>
</file>