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66A8C" w14:textId="77777777" w:rsidR="000D3884" w:rsidRPr="000D3884" w:rsidRDefault="000D3884" w:rsidP="000D3884">
      <w:pPr>
        <w:ind w:left="7728" w:right="-25" w:firstLine="210"/>
        <w:jc w:val="right"/>
        <w:rPr>
          <w:b/>
        </w:rPr>
      </w:pPr>
      <w:r w:rsidRPr="000D3884">
        <w:rPr>
          <w:b/>
        </w:rPr>
        <w:t>Додаток 4 до ТД</w:t>
      </w:r>
    </w:p>
    <w:p w14:paraId="49C26BE7" w14:textId="77777777" w:rsidR="000D3884" w:rsidRPr="000D3884" w:rsidRDefault="000D3884" w:rsidP="000D3884"/>
    <w:p w14:paraId="42B25E40" w14:textId="77777777" w:rsidR="000D3884" w:rsidRPr="000D3884" w:rsidRDefault="000D3884" w:rsidP="000D3884">
      <w:pPr>
        <w:jc w:val="center"/>
        <w:rPr>
          <w:b/>
          <w:bCs/>
          <w:lang w:eastAsia="ru-RU"/>
        </w:rPr>
      </w:pPr>
      <w:r w:rsidRPr="000D3884">
        <w:rPr>
          <w:b/>
          <w:bCs/>
          <w:lang w:eastAsia="ru-RU"/>
        </w:rPr>
        <w:t>ТЕХНІЧНІ ВИМОГИ</w:t>
      </w:r>
    </w:p>
    <w:p w14:paraId="4FD69537" w14:textId="77777777" w:rsidR="000D3884" w:rsidRPr="000D3884" w:rsidRDefault="000D3884" w:rsidP="000D3884">
      <w:pPr>
        <w:jc w:val="center"/>
        <w:rPr>
          <w:b/>
          <w:bCs/>
        </w:rPr>
      </w:pPr>
      <w:r w:rsidRPr="000D3884">
        <w:rPr>
          <w:b/>
          <w:bCs/>
        </w:rPr>
        <w:t>ІНФОРМАЦІЯ ПРО НЕОБХІДНІ ТЕХНІЧНІ, ЯКІСНІ ТА КІЛЬКІСНІ ХАРАКТЕРИСТИКИ ПРЕДМЕТА ЗАКУПІВЛІ</w:t>
      </w:r>
    </w:p>
    <w:p w14:paraId="76274242" w14:textId="1C4DC55A" w:rsidR="000D3884" w:rsidRPr="000D3884" w:rsidRDefault="000D3884" w:rsidP="000D3884">
      <w:pPr>
        <w:widowControl w:val="0"/>
        <w:pBdr>
          <w:top w:val="nil"/>
          <w:left w:val="nil"/>
          <w:bottom w:val="nil"/>
          <w:right w:val="nil"/>
          <w:between w:val="nil"/>
        </w:pBdr>
        <w:ind w:firstLine="567"/>
        <w:jc w:val="center"/>
        <w:rPr>
          <w:b/>
        </w:rPr>
      </w:pPr>
      <w:r w:rsidRPr="000D3884">
        <w:rPr>
          <w:b/>
        </w:rPr>
        <w:t>ДК 021:2015: 244</w:t>
      </w:r>
      <w:r w:rsidR="00C33AC0">
        <w:rPr>
          <w:b/>
        </w:rPr>
        <w:t>5</w:t>
      </w:r>
      <w:r w:rsidRPr="000D3884">
        <w:rPr>
          <w:b/>
        </w:rPr>
        <w:t>0000-</w:t>
      </w:r>
      <w:r w:rsidR="00C33AC0">
        <w:rPr>
          <w:b/>
        </w:rPr>
        <w:t>3</w:t>
      </w:r>
      <w:r w:rsidRPr="000D3884">
        <w:rPr>
          <w:b/>
        </w:rPr>
        <w:t xml:space="preserve"> – </w:t>
      </w:r>
      <w:r w:rsidR="0090096B">
        <w:rPr>
          <w:b/>
        </w:rPr>
        <w:t xml:space="preserve"> А</w:t>
      </w:r>
      <w:r w:rsidR="00C33AC0">
        <w:rPr>
          <w:b/>
        </w:rPr>
        <w:t>грохімічна</w:t>
      </w:r>
      <w:r w:rsidR="0090096B">
        <w:rPr>
          <w:b/>
        </w:rPr>
        <w:t xml:space="preserve"> </w:t>
      </w:r>
      <w:r w:rsidR="00C33AC0">
        <w:rPr>
          <w:b/>
        </w:rPr>
        <w:t>продукція</w:t>
      </w:r>
      <w:r w:rsidRPr="000D3884">
        <w:rPr>
          <w:b/>
        </w:rPr>
        <w:t xml:space="preserve"> </w:t>
      </w:r>
    </w:p>
    <w:p w14:paraId="5B25D1AA" w14:textId="77777777" w:rsidR="000D3884" w:rsidRPr="000D3884" w:rsidRDefault="000D3884" w:rsidP="000D3884">
      <w:pPr>
        <w:widowControl w:val="0"/>
        <w:pBdr>
          <w:top w:val="nil"/>
          <w:left w:val="nil"/>
          <w:bottom w:val="nil"/>
          <w:right w:val="nil"/>
          <w:between w:val="nil"/>
        </w:pBdr>
        <w:ind w:firstLine="567"/>
        <w:jc w:val="center"/>
        <w:rPr>
          <w:i/>
          <w:color w:val="000000"/>
        </w:rPr>
      </w:pPr>
      <w:r w:rsidRPr="000D3884">
        <w:rPr>
          <w:i/>
          <w:color w:val="000000"/>
        </w:rPr>
        <w:t xml:space="preserve">У разі, якщо нижче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w:t>
      </w:r>
      <w:r w:rsidRPr="000D3884">
        <w:rPr>
          <w:i/>
          <w:color w:val="000000"/>
          <w:lang w:val="ru-RU"/>
        </w:rPr>
        <w:t xml:space="preserve"> </w:t>
      </w:r>
      <w:r w:rsidRPr="000D3884">
        <w:rPr>
          <w:i/>
          <w:color w:val="000000"/>
        </w:rPr>
        <w:t>виробництва - читати  «або еквівалент»</w:t>
      </w:r>
    </w:p>
    <w:p w14:paraId="54E951FB" w14:textId="77777777" w:rsidR="000D3884" w:rsidRPr="000D3884" w:rsidRDefault="000D3884" w:rsidP="000D3884">
      <w:pPr>
        <w:widowControl w:val="0"/>
        <w:pBdr>
          <w:top w:val="nil"/>
          <w:left w:val="nil"/>
          <w:bottom w:val="nil"/>
          <w:right w:val="nil"/>
          <w:between w:val="nil"/>
        </w:pBdr>
        <w:ind w:firstLine="567"/>
        <w:jc w:val="center"/>
        <w:rPr>
          <w:i/>
          <w:color w:val="000000"/>
        </w:rPr>
      </w:pPr>
    </w:p>
    <w:p w14:paraId="15FAE141" w14:textId="77777777" w:rsidR="000D3884" w:rsidRPr="000D3884" w:rsidRDefault="000D3884" w:rsidP="000D3884">
      <w:pPr>
        <w:pStyle w:val="a3"/>
        <w:spacing w:before="0" w:beforeAutospacing="0" w:after="0" w:afterAutospacing="0"/>
        <w:jc w:val="both"/>
      </w:pPr>
      <w:r w:rsidRPr="000D3884">
        <w:t xml:space="preserve">1.1 </w:t>
      </w:r>
      <w:r w:rsidRPr="000D3884">
        <w:rPr>
          <w:bCs/>
        </w:rPr>
        <w:t>Місце поставки:</w:t>
      </w:r>
      <w:r w:rsidRPr="000D3884">
        <w:rPr>
          <w:b/>
          <w:bCs/>
        </w:rPr>
        <w:t xml:space="preserve"> </w:t>
      </w:r>
      <w:r w:rsidRPr="000D3884">
        <w:rPr>
          <w:rFonts w:hint="eastAsia"/>
        </w:rPr>
        <w:t>Україна</w:t>
      </w:r>
      <w:r w:rsidRPr="000D3884">
        <w:t xml:space="preserve">, 16645, </w:t>
      </w:r>
      <w:r w:rsidRPr="000D3884">
        <w:rPr>
          <w:rFonts w:hint="eastAsia"/>
        </w:rPr>
        <w:t>Чернігівська</w:t>
      </w:r>
      <w:r w:rsidRPr="000D3884">
        <w:t xml:space="preserve"> </w:t>
      </w:r>
      <w:r w:rsidRPr="000D3884">
        <w:rPr>
          <w:rFonts w:hint="eastAsia"/>
        </w:rPr>
        <w:t>обл</w:t>
      </w:r>
      <w:r w:rsidRPr="000D3884">
        <w:t xml:space="preserve">., </w:t>
      </w:r>
      <w:r w:rsidRPr="000D3884">
        <w:rPr>
          <w:rFonts w:hint="eastAsia"/>
        </w:rPr>
        <w:t>Ніжинський</w:t>
      </w:r>
      <w:r w:rsidRPr="000D3884">
        <w:t xml:space="preserve"> </w:t>
      </w:r>
      <w:r w:rsidRPr="000D3884">
        <w:rPr>
          <w:rFonts w:hint="eastAsia"/>
        </w:rPr>
        <w:t>р</w:t>
      </w:r>
      <w:r w:rsidRPr="000D3884">
        <w:t>-</w:t>
      </w:r>
      <w:r w:rsidRPr="000D3884">
        <w:rPr>
          <w:rFonts w:hint="eastAsia"/>
        </w:rPr>
        <w:t>н</w:t>
      </w:r>
      <w:r w:rsidRPr="000D3884">
        <w:t xml:space="preserve">, </w:t>
      </w:r>
      <w:r w:rsidRPr="000D3884">
        <w:rPr>
          <w:rFonts w:hint="eastAsia"/>
        </w:rPr>
        <w:t>село</w:t>
      </w:r>
      <w:r w:rsidRPr="000D3884">
        <w:t xml:space="preserve"> </w:t>
      </w:r>
      <w:r w:rsidRPr="000D3884">
        <w:rPr>
          <w:rFonts w:hint="eastAsia"/>
        </w:rPr>
        <w:t>Крути</w:t>
      </w:r>
      <w:r w:rsidRPr="000D3884">
        <w:t xml:space="preserve">, </w:t>
      </w:r>
      <w:r w:rsidRPr="000D3884">
        <w:rPr>
          <w:rFonts w:hint="eastAsia"/>
        </w:rPr>
        <w:t>ВУЛИЦЯ</w:t>
      </w:r>
      <w:r w:rsidRPr="000D3884">
        <w:t xml:space="preserve"> </w:t>
      </w:r>
      <w:r w:rsidRPr="000D3884">
        <w:rPr>
          <w:rFonts w:hint="eastAsia"/>
        </w:rPr>
        <w:t>НЕЗАЛЕЖНОСТІ</w:t>
      </w:r>
      <w:r w:rsidRPr="000D3884">
        <w:t xml:space="preserve">, </w:t>
      </w:r>
      <w:r w:rsidRPr="000D3884">
        <w:rPr>
          <w:rFonts w:hint="eastAsia"/>
        </w:rPr>
        <w:t>будинок</w:t>
      </w:r>
      <w:r w:rsidRPr="000D3884">
        <w:t xml:space="preserve"> 39.</w:t>
      </w:r>
    </w:p>
    <w:tbl>
      <w:tblPr>
        <w:tblpPr w:leftFromText="180" w:rightFromText="180" w:vertAnchor="text" w:horzAnchor="margin" w:tblpY="19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114"/>
        <w:gridCol w:w="933"/>
        <w:gridCol w:w="8"/>
        <w:gridCol w:w="1133"/>
        <w:gridCol w:w="3190"/>
      </w:tblGrid>
      <w:tr w:rsidR="000D3884" w:rsidRPr="000D3884" w14:paraId="339EBDBF" w14:textId="77777777" w:rsidTr="00C33AC0">
        <w:trPr>
          <w:trHeight w:val="20"/>
        </w:trPr>
        <w:tc>
          <w:tcPr>
            <w:tcW w:w="540" w:type="dxa"/>
            <w:shd w:val="clear" w:color="auto" w:fill="BFBFBF" w:themeFill="background1" w:themeFillShade="BF"/>
            <w:vAlign w:val="center"/>
          </w:tcPr>
          <w:p w14:paraId="54A030A3" w14:textId="77777777" w:rsidR="000D3884" w:rsidRPr="000D3884" w:rsidRDefault="000D3884" w:rsidP="00C841E0">
            <w:pPr>
              <w:jc w:val="center"/>
              <w:rPr>
                <w:rFonts w:eastAsia="Calibri"/>
              </w:rPr>
            </w:pPr>
            <w:r w:rsidRPr="000D3884">
              <w:rPr>
                <w:rFonts w:eastAsia="Calibri"/>
              </w:rPr>
              <w:t>№</w:t>
            </w:r>
          </w:p>
          <w:p w14:paraId="2076B5A2" w14:textId="77777777" w:rsidR="000D3884" w:rsidRPr="000D3884" w:rsidRDefault="000D3884" w:rsidP="00C841E0">
            <w:pPr>
              <w:jc w:val="center"/>
              <w:rPr>
                <w:rFonts w:eastAsia="Calibri"/>
              </w:rPr>
            </w:pPr>
            <w:r w:rsidRPr="000D3884">
              <w:rPr>
                <w:rFonts w:eastAsia="Calibri"/>
              </w:rPr>
              <w:t>п/п</w:t>
            </w:r>
          </w:p>
        </w:tc>
        <w:tc>
          <w:tcPr>
            <w:tcW w:w="4114" w:type="dxa"/>
            <w:shd w:val="clear" w:color="auto" w:fill="BFBFBF" w:themeFill="background1" w:themeFillShade="BF"/>
            <w:vAlign w:val="center"/>
          </w:tcPr>
          <w:p w14:paraId="0522C838" w14:textId="77777777" w:rsidR="000D3884" w:rsidRPr="000D3884" w:rsidRDefault="000D3884" w:rsidP="00C841E0">
            <w:pPr>
              <w:jc w:val="center"/>
              <w:rPr>
                <w:rFonts w:eastAsia="Calibri"/>
              </w:rPr>
            </w:pPr>
            <w:r w:rsidRPr="000D3884">
              <w:rPr>
                <w:rFonts w:eastAsia="Calibri"/>
              </w:rPr>
              <w:t>Найменування товару</w:t>
            </w:r>
          </w:p>
        </w:tc>
        <w:tc>
          <w:tcPr>
            <w:tcW w:w="941" w:type="dxa"/>
            <w:gridSpan w:val="2"/>
            <w:shd w:val="clear" w:color="auto" w:fill="BFBFBF" w:themeFill="background1" w:themeFillShade="BF"/>
            <w:vAlign w:val="center"/>
          </w:tcPr>
          <w:p w14:paraId="2267C0F2" w14:textId="77777777" w:rsidR="000D3884" w:rsidRPr="000D3884" w:rsidRDefault="000D3884" w:rsidP="00C841E0">
            <w:pPr>
              <w:jc w:val="center"/>
              <w:rPr>
                <w:rFonts w:eastAsia="Calibri"/>
              </w:rPr>
            </w:pPr>
            <w:r w:rsidRPr="000D3884">
              <w:rPr>
                <w:rFonts w:eastAsia="Calibri"/>
              </w:rPr>
              <w:t>Од. виміру</w:t>
            </w:r>
          </w:p>
        </w:tc>
        <w:tc>
          <w:tcPr>
            <w:tcW w:w="1133" w:type="dxa"/>
            <w:shd w:val="clear" w:color="auto" w:fill="BFBFBF" w:themeFill="background1" w:themeFillShade="BF"/>
            <w:vAlign w:val="center"/>
          </w:tcPr>
          <w:p w14:paraId="0161CB06" w14:textId="77777777" w:rsidR="000D3884" w:rsidRPr="000D3884" w:rsidRDefault="000D3884" w:rsidP="00C841E0">
            <w:pPr>
              <w:jc w:val="center"/>
              <w:rPr>
                <w:rFonts w:eastAsia="Calibri"/>
              </w:rPr>
            </w:pPr>
            <w:r w:rsidRPr="000D3884">
              <w:rPr>
                <w:rFonts w:eastAsia="Calibri"/>
              </w:rPr>
              <w:t>Загальна кількість</w:t>
            </w:r>
          </w:p>
        </w:tc>
        <w:tc>
          <w:tcPr>
            <w:tcW w:w="3190" w:type="dxa"/>
            <w:shd w:val="clear" w:color="auto" w:fill="BFBFBF" w:themeFill="background1" w:themeFillShade="BF"/>
            <w:vAlign w:val="center"/>
          </w:tcPr>
          <w:p w14:paraId="484B98EA" w14:textId="77777777" w:rsidR="000D3884" w:rsidRDefault="000D3884" w:rsidP="00C841E0">
            <w:pPr>
              <w:jc w:val="center"/>
              <w:rPr>
                <w:color w:val="000000"/>
                <w:spacing w:val="-10"/>
              </w:rPr>
            </w:pPr>
            <w:r w:rsidRPr="000D3884">
              <w:rPr>
                <w:color w:val="000000"/>
              </w:rPr>
              <w:t xml:space="preserve">Технічні та якісні </w:t>
            </w:r>
            <w:r w:rsidRPr="000D3884">
              <w:rPr>
                <w:color w:val="000000"/>
                <w:spacing w:val="-10"/>
              </w:rPr>
              <w:t>характеристики</w:t>
            </w:r>
          </w:p>
          <w:p w14:paraId="1FB6671E" w14:textId="1B7847A2" w:rsidR="00906D66" w:rsidRPr="000D3884" w:rsidRDefault="00906D66" w:rsidP="00C841E0">
            <w:pPr>
              <w:jc w:val="center"/>
              <w:rPr>
                <w:rFonts w:eastAsia="Calibri"/>
              </w:rPr>
            </w:pPr>
            <w:r>
              <w:rPr>
                <w:color w:val="000000"/>
                <w:spacing w:val="-10"/>
              </w:rPr>
              <w:t>(діюча речовина)</w:t>
            </w:r>
            <w:bookmarkStart w:id="0" w:name="_GoBack"/>
            <w:bookmarkEnd w:id="0"/>
          </w:p>
        </w:tc>
      </w:tr>
      <w:tr w:rsidR="00780678" w:rsidRPr="000D3884" w14:paraId="63858B21" w14:textId="77777777" w:rsidTr="00026D85">
        <w:trPr>
          <w:trHeight w:val="20"/>
        </w:trPr>
        <w:tc>
          <w:tcPr>
            <w:tcW w:w="540" w:type="dxa"/>
            <w:vAlign w:val="center"/>
          </w:tcPr>
          <w:p w14:paraId="79CB23E4" w14:textId="77777777" w:rsidR="00780678" w:rsidRPr="000D3884" w:rsidRDefault="00780678" w:rsidP="00780678">
            <w:pPr>
              <w:spacing w:after="160" w:line="259" w:lineRule="auto"/>
              <w:contextualSpacing/>
              <w:rPr>
                <w:rFonts w:eastAsia="Calibri"/>
                <w:lang w:val="en-US" w:eastAsia="en-US"/>
              </w:rPr>
            </w:pPr>
          </w:p>
        </w:tc>
        <w:tc>
          <w:tcPr>
            <w:tcW w:w="9378" w:type="dxa"/>
            <w:gridSpan w:val="5"/>
            <w:tcBorders>
              <w:top w:val="single" w:sz="8" w:space="0" w:color="auto"/>
              <w:left w:val="single" w:sz="4" w:space="0" w:color="auto"/>
              <w:bottom w:val="single" w:sz="4" w:space="0" w:color="auto"/>
              <w:right w:val="single" w:sz="5" w:space="0" w:color="auto"/>
            </w:tcBorders>
            <w:shd w:val="clear" w:color="auto" w:fill="FFFFFF" w:themeFill="background1"/>
            <w:vAlign w:val="center"/>
          </w:tcPr>
          <w:p w14:paraId="629AB102" w14:textId="5F7B8DFE" w:rsidR="00780678" w:rsidRPr="00780678" w:rsidRDefault="00780678" w:rsidP="00780678">
            <w:pPr>
              <w:shd w:val="clear" w:color="auto" w:fill="FFFFFF"/>
              <w:rPr>
                <w:b/>
                <w:bCs/>
                <w:color w:val="000000"/>
              </w:rPr>
            </w:pPr>
            <w:r w:rsidRPr="00780678">
              <w:rPr>
                <w:b/>
                <w:bCs/>
                <w:color w:val="000000"/>
              </w:rPr>
              <w:t>Гербіцид</w:t>
            </w:r>
            <w:r w:rsidR="00375008">
              <w:rPr>
                <w:b/>
                <w:bCs/>
                <w:color w:val="000000"/>
              </w:rPr>
              <w:t>и</w:t>
            </w:r>
          </w:p>
        </w:tc>
      </w:tr>
      <w:tr w:rsidR="000D3884" w:rsidRPr="000D3884" w14:paraId="3A563FCA" w14:textId="77777777" w:rsidTr="00C33AC0">
        <w:trPr>
          <w:trHeight w:val="20"/>
        </w:trPr>
        <w:tc>
          <w:tcPr>
            <w:tcW w:w="540" w:type="dxa"/>
            <w:vAlign w:val="center"/>
          </w:tcPr>
          <w:p w14:paraId="6BE2112D" w14:textId="77777777" w:rsidR="000D3884" w:rsidRPr="00375008" w:rsidRDefault="000D3884" w:rsidP="00C841E0">
            <w:pPr>
              <w:numPr>
                <w:ilvl w:val="0"/>
                <w:numId w:val="1"/>
              </w:numPr>
              <w:spacing w:after="160" w:line="259" w:lineRule="auto"/>
              <w:ind w:left="0" w:firstLine="0"/>
              <w:contextualSpacing/>
              <w:jc w:val="center"/>
              <w:rPr>
                <w:rFonts w:eastAsia="Calibri"/>
                <w:lang w:val="en-US" w:eastAsia="en-US"/>
              </w:rPr>
            </w:pPr>
          </w:p>
        </w:tc>
        <w:tc>
          <w:tcPr>
            <w:tcW w:w="4114"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5AB9EA2A" w14:textId="56E39D55" w:rsidR="000D3884" w:rsidRPr="00375008" w:rsidRDefault="00780678" w:rsidP="00C841E0">
            <w:pPr>
              <w:rPr>
                <w:color w:val="000000"/>
                <w:lang w:val="ru-RU" w:eastAsia="en-US"/>
              </w:rPr>
            </w:pPr>
            <w:r w:rsidRPr="00375008">
              <w:rPr>
                <w:color w:val="000000"/>
              </w:rPr>
              <w:t>Міладар Дуо</w:t>
            </w:r>
            <w:r w:rsidR="000D3884" w:rsidRPr="00375008">
              <w:rPr>
                <w:color w:val="000000"/>
              </w:rPr>
              <w:t xml:space="preserve">  </w:t>
            </w:r>
          </w:p>
        </w:tc>
        <w:tc>
          <w:tcPr>
            <w:tcW w:w="9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9592467" w14:textId="29902267" w:rsidR="000D3884" w:rsidRPr="00375008" w:rsidRDefault="00780678" w:rsidP="00C841E0">
            <w:pPr>
              <w:jc w:val="center"/>
            </w:pPr>
            <w:r w:rsidRPr="00375008">
              <w:t>л</w:t>
            </w:r>
          </w:p>
        </w:tc>
        <w:tc>
          <w:tcPr>
            <w:tcW w:w="1133" w:type="dxa"/>
            <w:tcBorders>
              <w:top w:val="single" w:sz="5" w:space="0" w:color="auto"/>
              <w:left w:val="single" w:sz="5" w:space="0" w:color="auto"/>
              <w:bottom w:val="single" w:sz="5" w:space="0" w:color="auto"/>
              <w:right w:val="single" w:sz="5" w:space="0" w:color="auto"/>
            </w:tcBorders>
            <w:shd w:val="clear" w:color="FFFFFF" w:fill="auto"/>
            <w:vAlign w:val="center"/>
          </w:tcPr>
          <w:p w14:paraId="5BD64069" w14:textId="6A6364E9" w:rsidR="000D3884" w:rsidRPr="00375008" w:rsidRDefault="00780678" w:rsidP="00C841E0">
            <w:pPr>
              <w:jc w:val="center"/>
            </w:pPr>
            <w:r w:rsidRPr="00375008">
              <w:t>450</w:t>
            </w:r>
          </w:p>
        </w:tc>
        <w:tc>
          <w:tcPr>
            <w:tcW w:w="3190" w:type="dxa"/>
            <w:tcBorders>
              <w:top w:val="single" w:sz="5" w:space="0" w:color="auto"/>
              <w:left w:val="single" w:sz="5" w:space="0" w:color="auto"/>
              <w:bottom w:val="single" w:sz="5" w:space="0" w:color="auto"/>
              <w:right w:val="single" w:sz="5" w:space="0" w:color="auto"/>
            </w:tcBorders>
            <w:shd w:val="clear" w:color="FFFFFF" w:fill="auto"/>
            <w:vAlign w:val="center"/>
          </w:tcPr>
          <w:p w14:paraId="4571D070" w14:textId="311B6E95" w:rsidR="000D3884" w:rsidRPr="000D3884" w:rsidRDefault="00906D66" w:rsidP="00906D66">
            <w:pPr>
              <w:shd w:val="clear" w:color="auto" w:fill="FFFFFF"/>
              <w:rPr>
                <w:color w:val="212121"/>
                <w:lang w:val="ru-RU" w:eastAsia="ru-RU"/>
              </w:rPr>
            </w:pPr>
            <w:r>
              <w:rPr>
                <w:color w:val="212121"/>
                <w:lang w:val="ru-RU" w:eastAsia="ru-RU"/>
              </w:rPr>
              <w:t>Мезотріон 100г/л, нікосульфурон 45г/л</w:t>
            </w:r>
          </w:p>
        </w:tc>
      </w:tr>
      <w:tr w:rsidR="00C33AC0" w:rsidRPr="000D3884" w14:paraId="78BF8ED6" w14:textId="0BB7C933" w:rsidTr="00C33AC0">
        <w:trPr>
          <w:trHeight w:val="20"/>
        </w:trPr>
        <w:tc>
          <w:tcPr>
            <w:tcW w:w="540" w:type="dxa"/>
            <w:vAlign w:val="center"/>
          </w:tcPr>
          <w:p w14:paraId="10CF592B" w14:textId="3CC0A004" w:rsidR="00C33AC0" w:rsidRPr="00375008" w:rsidRDefault="00C33AC0" w:rsidP="00780678">
            <w:pPr>
              <w:spacing w:after="160" w:line="259" w:lineRule="auto"/>
              <w:contextualSpacing/>
              <w:rPr>
                <w:rFonts w:eastAsia="Calibri"/>
                <w:lang w:eastAsia="en-US"/>
              </w:rPr>
            </w:pPr>
            <w:r w:rsidRPr="00375008">
              <w:rPr>
                <w:rFonts w:eastAsia="Calibri"/>
                <w:lang w:eastAsia="en-US"/>
              </w:rPr>
              <w:t>2.</w:t>
            </w:r>
          </w:p>
        </w:tc>
        <w:tc>
          <w:tcPr>
            <w:tcW w:w="4114"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7D9C85A2" w14:textId="11646323" w:rsidR="00C33AC0" w:rsidRPr="00375008" w:rsidRDefault="00C33AC0" w:rsidP="00780678">
            <w:pPr>
              <w:shd w:val="clear" w:color="auto" w:fill="FFFFFF"/>
            </w:pPr>
            <w:r w:rsidRPr="00375008">
              <w:t>Тандем</w:t>
            </w:r>
            <w:r w:rsidR="00906D66">
              <w:t xml:space="preserve"> ( прилипач)</w:t>
            </w:r>
          </w:p>
        </w:tc>
        <w:tc>
          <w:tcPr>
            <w:tcW w:w="933"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2D02C5FC" w14:textId="5B81FE68" w:rsidR="00C33AC0" w:rsidRPr="00375008" w:rsidRDefault="00C33AC0" w:rsidP="00780678">
            <w:pPr>
              <w:shd w:val="clear" w:color="auto" w:fill="FFFFFF"/>
            </w:pPr>
            <w:r w:rsidRPr="00375008">
              <w:t xml:space="preserve">     л</w:t>
            </w:r>
          </w:p>
        </w:tc>
        <w:tc>
          <w:tcPr>
            <w:tcW w:w="1141" w:type="dxa"/>
            <w:gridSpan w:val="2"/>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1C7EAE8E" w14:textId="34170BB4" w:rsidR="00C33AC0" w:rsidRPr="00375008" w:rsidRDefault="00C33AC0" w:rsidP="00780678">
            <w:pPr>
              <w:shd w:val="clear" w:color="auto" w:fill="FFFFFF"/>
            </w:pPr>
            <w:r w:rsidRPr="00375008">
              <w:t xml:space="preserve">     90</w:t>
            </w:r>
          </w:p>
        </w:tc>
        <w:tc>
          <w:tcPr>
            <w:tcW w:w="3190" w:type="dxa"/>
            <w:tcBorders>
              <w:top w:val="single" w:sz="8" w:space="0" w:color="auto"/>
              <w:left w:val="single" w:sz="4" w:space="0" w:color="auto"/>
              <w:bottom w:val="single" w:sz="4" w:space="0" w:color="auto"/>
              <w:right w:val="single" w:sz="5" w:space="0" w:color="auto"/>
            </w:tcBorders>
            <w:shd w:val="clear" w:color="auto" w:fill="FFFFFF" w:themeFill="background1"/>
            <w:vAlign w:val="center"/>
          </w:tcPr>
          <w:p w14:paraId="24AE5523" w14:textId="15003CBD" w:rsidR="00C33AC0" w:rsidRPr="00906D66" w:rsidRDefault="00906D66" w:rsidP="00906D66">
            <w:pPr>
              <w:shd w:val="clear" w:color="auto" w:fill="FFFFFF"/>
            </w:pPr>
            <w:r w:rsidRPr="00906D66">
              <w:t>Суміш поверхнево-активних речовин 100г/л</w:t>
            </w:r>
          </w:p>
        </w:tc>
      </w:tr>
    </w:tbl>
    <w:p w14:paraId="752CAE3A" w14:textId="77777777" w:rsidR="000D3884" w:rsidRPr="000D3884" w:rsidRDefault="000D3884" w:rsidP="000D3884">
      <w:pPr>
        <w:tabs>
          <w:tab w:val="left" w:pos="749"/>
        </w:tabs>
        <w:autoSpaceDE w:val="0"/>
        <w:autoSpaceDN w:val="0"/>
        <w:adjustRightInd w:val="0"/>
        <w:rPr>
          <w:sz w:val="22"/>
          <w:szCs w:val="22"/>
          <w:lang w:eastAsia="ru-RU"/>
        </w:rPr>
      </w:pPr>
    </w:p>
    <w:p w14:paraId="4E24E925" w14:textId="77777777" w:rsidR="000D3884" w:rsidRPr="000D3884" w:rsidRDefault="000D3884" w:rsidP="000D3884">
      <w:pPr>
        <w:jc w:val="both"/>
        <w:rPr>
          <w:b/>
        </w:rPr>
      </w:pPr>
      <w:r w:rsidRPr="000D3884">
        <w:rPr>
          <w:b/>
        </w:rPr>
        <w:t xml:space="preserve">У разі надання еквівалентів заявленого предмету закупівлі учасник повинен подати </w:t>
      </w:r>
      <w:r w:rsidRPr="000D3884">
        <w:rPr>
          <w:b/>
          <w:u w:val="single"/>
        </w:rPr>
        <w:t>ПОРІВНЯЛЬНУ ТАБЛИЦЮ</w:t>
      </w:r>
      <w:r w:rsidRPr="000D3884">
        <w:rPr>
          <w:b/>
        </w:rPr>
        <w:t xml:space="preserve"> технічних характеристик запропонованого ним та заявленого Замовником предмета закупівлі.</w:t>
      </w:r>
    </w:p>
    <w:p w14:paraId="791116DD" w14:textId="77777777" w:rsidR="000D3884" w:rsidRPr="000D3884" w:rsidRDefault="000D3884" w:rsidP="000D3884">
      <w:pPr>
        <w:contextualSpacing/>
        <w:rPr>
          <w:b/>
          <w:sz w:val="22"/>
          <w:szCs w:val="22"/>
        </w:rPr>
      </w:pPr>
    </w:p>
    <w:p w14:paraId="1FA7281B" w14:textId="77777777" w:rsidR="000D3884" w:rsidRPr="000D3884" w:rsidRDefault="000D3884" w:rsidP="000D3884">
      <w:pPr>
        <w:widowControl w:val="0"/>
        <w:tabs>
          <w:tab w:val="left" w:pos="735"/>
          <w:tab w:val="center" w:pos="4677"/>
        </w:tabs>
        <w:autoSpaceDE w:val="0"/>
        <w:autoSpaceDN w:val="0"/>
        <w:adjustRightInd w:val="0"/>
        <w:spacing w:line="276" w:lineRule="auto"/>
        <w:contextualSpacing/>
        <w:jc w:val="both"/>
      </w:pPr>
      <w:r w:rsidRPr="000D3884">
        <w:t xml:space="preserve">1.2. Учасники процедури закупівлі повинні надати в складі тендерної пропозицій документи, які підтверджують відповідність тендерної пропозицій учасника технічним, якісним, кількісним та іншим вимогам до предмета закупівлі, а саме, відповідну технічну специфікацію, що має мітити інформацію про країну походження товару та найменування виробника. </w:t>
      </w:r>
    </w:p>
    <w:p w14:paraId="6ABA452F" w14:textId="77777777" w:rsidR="000D3884" w:rsidRPr="000D3884" w:rsidRDefault="000D3884" w:rsidP="000D3884">
      <w:pPr>
        <w:widowControl w:val="0"/>
        <w:tabs>
          <w:tab w:val="left" w:pos="735"/>
          <w:tab w:val="center" w:pos="4677"/>
        </w:tabs>
        <w:autoSpaceDE w:val="0"/>
        <w:autoSpaceDN w:val="0"/>
        <w:adjustRightInd w:val="0"/>
        <w:spacing w:line="276" w:lineRule="auto"/>
        <w:contextualSpacing/>
        <w:jc w:val="both"/>
      </w:pPr>
      <w:r w:rsidRPr="000D3884">
        <w:t>1.3. Для підтвердження інформації про необхідні технічні, якісні та кількісні характеристики предмета закупівлі учасник у складі пропозиції надає копії сертифікатів відповідності, або паспортів виробника, або інший документ.</w:t>
      </w:r>
    </w:p>
    <w:p w14:paraId="06FD10D1" w14:textId="77777777" w:rsidR="000D3884" w:rsidRPr="000D3884" w:rsidRDefault="000D3884" w:rsidP="000D3884">
      <w:pPr>
        <w:pStyle w:val="a3"/>
        <w:spacing w:before="0" w:beforeAutospacing="0" w:after="0" w:afterAutospacing="0" w:line="276" w:lineRule="auto"/>
        <w:contextualSpacing/>
        <w:jc w:val="both"/>
      </w:pPr>
      <w:r w:rsidRPr="000D3884">
        <w:t>1.4. Поставка товару  повинна здійснюватися не пізніше 3 робочих днів з моменту одержання відповідної заявки від Замовника, а  саме: Україна, 16645, Чернігівська обл., Ніжинський р-н, село Крути, ВУЛИЦЯ НЕЗАЛЕЖНОСТІ, будинок 39.</w:t>
      </w:r>
    </w:p>
    <w:p w14:paraId="357AD541" w14:textId="77777777" w:rsidR="000D3884" w:rsidRPr="000D3884" w:rsidRDefault="000D3884" w:rsidP="000D3884">
      <w:pPr>
        <w:widowControl w:val="0"/>
        <w:tabs>
          <w:tab w:val="left" w:pos="735"/>
          <w:tab w:val="center" w:pos="4677"/>
        </w:tabs>
        <w:autoSpaceDE w:val="0"/>
        <w:autoSpaceDN w:val="0"/>
        <w:adjustRightInd w:val="0"/>
        <w:spacing w:line="276" w:lineRule="auto"/>
        <w:contextualSpacing/>
        <w:jc w:val="both"/>
      </w:pPr>
      <w:r w:rsidRPr="000D3884">
        <w:t xml:space="preserve">1.5.Поставка здійснюється в обсягах, зазначених у заявці замовника, в залежності від фактичної потреби. Партія формується за письмовою заявкою замовника, яка направляється учаснику швидкодіючими електронними засобами зв’язку (факс, електронна пошта). </w:t>
      </w:r>
    </w:p>
    <w:p w14:paraId="4453E259" w14:textId="77777777" w:rsidR="000D3884" w:rsidRPr="000D3884" w:rsidRDefault="000D3884" w:rsidP="000D3884">
      <w:pPr>
        <w:widowControl w:val="0"/>
        <w:tabs>
          <w:tab w:val="left" w:pos="735"/>
          <w:tab w:val="center" w:pos="4677"/>
        </w:tabs>
        <w:autoSpaceDE w:val="0"/>
        <w:autoSpaceDN w:val="0"/>
        <w:adjustRightInd w:val="0"/>
        <w:spacing w:line="276" w:lineRule="auto"/>
        <w:contextualSpacing/>
        <w:jc w:val="both"/>
        <w:rPr>
          <w:color w:val="A5A5A5"/>
        </w:rPr>
      </w:pPr>
      <w:r w:rsidRPr="000D3884">
        <w:t>1.6.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14:paraId="611F51F6" w14:textId="77777777" w:rsidR="000D3884" w:rsidRPr="000D3884" w:rsidRDefault="000D3884" w:rsidP="000D3884">
      <w:pPr>
        <w:contextualSpacing/>
        <w:jc w:val="both"/>
        <w:rPr>
          <w:color w:val="000000"/>
        </w:rPr>
      </w:pPr>
      <w:r w:rsidRPr="000D3884">
        <w:rPr>
          <w:color w:val="000000"/>
        </w:rPr>
        <w:t xml:space="preserve">1.7. Товар повинен відповідати вимогам охорони праці, екології та пожежної безпеки. Учасник гарантує, що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w:t>
      </w:r>
      <w:r w:rsidRPr="000D3884">
        <w:rPr>
          <w:color w:val="000000"/>
        </w:rPr>
        <w:lastRenderedPageBreak/>
        <w:t>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w:t>
      </w:r>
    </w:p>
    <w:p w14:paraId="09983E36" w14:textId="77777777" w:rsidR="000D3884" w:rsidRPr="000D3884" w:rsidRDefault="000D3884" w:rsidP="000D3884">
      <w:pPr>
        <w:contextualSpacing/>
        <w:jc w:val="both"/>
        <w:rPr>
          <w:color w:val="000000"/>
        </w:rPr>
      </w:pPr>
      <w:r w:rsidRPr="000D3884">
        <w:rPr>
          <w:color w:val="000000"/>
        </w:rPr>
        <w:t>1.8.</w:t>
      </w:r>
      <w:r w:rsidRPr="000D3884">
        <w:rPr>
          <w:b/>
          <w:color w:val="000000"/>
        </w:rPr>
        <w:t xml:space="preserve"> </w:t>
      </w:r>
      <w:r w:rsidRPr="000D3884">
        <w:rPr>
          <w:b/>
          <w:color w:val="000000"/>
          <w:u w:val="single"/>
        </w:rPr>
        <w:t>Учасник визначає ціну на товар</w:t>
      </w:r>
      <w:r w:rsidRPr="000D3884">
        <w:rPr>
          <w:color w:val="000000"/>
        </w:rPr>
        <w:t xml:space="preserve">, яку він пропонує поставити за Договором, </w:t>
      </w:r>
      <w:r w:rsidRPr="000D3884">
        <w:rPr>
          <w:b/>
          <w:color w:val="000000"/>
          <w:u w:val="single"/>
        </w:rPr>
        <w:t>з урахуванням</w:t>
      </w:r>
      <w:r w:rsidRPr="000D3884">
        <w:rPr>
          <w:color w:val="000000"/>
        </w:rPr>
        <w:t xml:space="preserve"> усіх своїх витрат, які можуть бути ним понесені у ході виконання договору про закупівлю, в тому числі ПДВ (для платників ПДВ). </w:t>
      </w:r>
    </w:p>
    <w:p w14:paraId="30974A0D" w14:textId="77777777" w:rsidR="000D3884" w:rsidRPr="000D3884" w:rsidRDefault="000D3884" w:rsidP="000D3884"/>
    <w:p w14:paraId="3700A38C" w14:textId="77777777" w:rsidR="000D3884" w:rsidRPr="000D3884" w:rsidRDefault="000D3884" w:rsidP="000D3884"/>
    <w:p w14:paraId="2E8F0EFF" w14:textId="3B954002" w:rsidR="000D3884" w:rsidRDefault="002E42FB" w:rsidP="000D3884">
      <w:pPr>
        <w:widowControl w:val="0"/>
        <w:autoSpaceDE w:val="0"/>
        <w:autoSpaceDN w:val="0"/>
        <w:adjustRightInd w:val="0"/>
        <w:jc w:val="both"/>
        <w:rPr>
          <w:rFonts w:eastAsia="Arial"/>
        </w:rPr>
      </w:pPr>
      <w:r>
        <w:rPr>
          <w:rFonts w:eastAsia="Arial"/>
        </w:rPr>
        <w:t>Уповноважена особа</w:t>
      </w:r>
    </w:p>
    <w:p w14:paraId="67C569B6" w14:textId="09EBE59D" w:rsidR="002E42FB" w:rsidRDefault="002E42FB" w:rsidP="000D3884">
      <w:pPr>
        <w:widowControl w:val="0"/>
        <w:autoSpaceDE w:val="0"/>
        <w:autoSpaceDN w:val="0"/>
        <w:adjustRightInd w:val="0"/>
        <w:jc w:val="both"/>
        <w:rPr>
          <w:rFonts w:eastAsia="Arial"/>
        </w:rPr>
      </w:pPr>
      <w:r>
        <w:rPr>
          <w:rFonts w:eastAsia="Arial"/>
        </w:rPr>
        <w:t>Бухгалтер                                                                     Ксенія МАЛЕНКО</w:t>
      </w:r>
    </w:p>
    <w:p w14:paraId="2D6F169C" w14:textId="77777777" w:rsidR="000D3884" w:rsidRDefault="000D3884" w:rsidP="000D3884"/>
    <w:p w14:paraId="19C31705" w14:textId="77777777" w:rsidR="007A23D8" w:rsidRDefault="007A23D8"/>
    <w:sectPr w:rsidR="007A23D8" w:rsidSect="00750F2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35BF5"/>
    <w:multiLevelType w:val="hybridMultilevel"/>
    <w:tmpl w:val="B19A112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oNotDisplayPageBoundaries/>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D3884"/>
    <w:rsid w:val="000D3884"/>
    <w:rsid w:val="002E42FB"/>
    <w:rsid w:val="00375008"/>
    <w:rsid w:val="00487436"/>
    <w:rsid w:val="00780678"/>
    <w:rsid w:val="007A23D8"/>
    <w:rsid w:val="0090096B"/>
    <w:rsid w:val="00906D66"/>
    <w:rsid w:val="00C33AC0"/>
    <w:rsid w:val="00E04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BD9A"/>
  <w15:docId w15:val="{FAB508AF-0757-4218-9EC9-49A06D7A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D3884"/>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4"/>
    <w:rsid w:val="000D3884"/>
    <w:pPr>
      <w:spacing w:before="100" w:beforeAutospacing="1" w:after="100" w:afterAutospacing="1"/>
    </w:pPr>
    <w:rPr>
      <w:color w:val="000000"/>
    </w:rPr>
  </w:style>
  <w:style w:type="character" w:customStyle="1" w:styleId="a4">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0D3884"/>
    <w:rPr>
      <w:rFonts w:ascii="Times New Roman" w:eastAsia="Times New Roman" w:hAnsi="Times New Roman" w:cs="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453</Words>
  <Characters>2588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14</cp:revision>
  <cp:lastPrinted>2021-03-22T13:31:00Z</cp:lastPrinted>
  <dcterms:created xsi:type="dcterms:W3CDTF">2021-03-09T18:30:00Z</dcterms:created>
  <dcterms:modified xsi:type="dcterms:W3CDTF">2023-06-02T06:12:00Z</dcterms:modified>
</cp:coreProperties>
</file>