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436A3D">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385BC7" w:rsidRPr="00385BC7">
        <w:rPr>
          <w:rFonts w:ascii="Times New Roman" w:eastAsia="DejaVu Sans" w:hAnsi="Times New Roman" w:cs="FreeSans"/>
          <w:b/>
          <w:color w:val="auto"/>
          <w:kern w:val="2"/>
          <w:sz w:val="24"/>
          <w:szCs w:val="24"/>
          <w:lang w:val="uk-UA" w:eastAsia="zh-CN" w:bidi="hi-IN"/>
        </w:rPr>
        <w:t>Елементи системи керування тяговим двигуном СТТ-01 тролейбусів Богдан-Т70117 (силові IGBT-транзистори та модулі управління ними (драйвери), блоки перетворювача сигналів CAN шин SAM1707А25А) (ДК 021:2015: 31710000-6  Електронне обладнання)</w:t>
      </w:r>
      <w:r w:rsidR="00066452" w:rsidRPr="00066452">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 (на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Pr>
          <w:rFonts w:ascii="Times New Roman" w:eastAsia="Times New Roman" w:hAnsi="Times New Roman" w:cs="Times New Roman"/>
          <w:color w:val="auto"/>
          <w:sz w:val="24"/>
          <w:szCs w:val="24"/>
          <w:lang w:val="uk-UA"/>
        </w:rPr>
        <w:t>,</w:t>
      </w:r>
      <w:r w:rsidRPr="00174BE4">
        <w:t xml:space="preserve"> </w:t>
      </w:r>
      <w:r w:rsidRPr="00174BE4">
        <w:rPr>
          <w:rFonts w:ascii="Times New Roman" w:eastAsia="Times New Roman" w:hAnsi="Times New Roman" w:cs="Times New Roman"/>
          <w:color w:val="auto"/>
          <w:sz w:val="24"/>
          <w:szCs w:val="24"/>
          <w:lang w:val="uk-UA"/>
        </w:rPr>
        <w:t>виготовлений не раніше 2022 року</w:t>
      </w:r>
      <w:r w:rsidRPr="00A30C07">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що </w:t>
      </w:r>
      <w:r w:rsidR="00E06B9F" w:rsidRPr="00E06B9F">
        <w:rPr>
          <w:rFonts w:ascii="Times New Roman" w:eastAsia="Times New Roman" w:hAnsi="Times New Roman" w:cs="Times New Roman"/>
          <w:color w:val="auto"/>
          <w:sz w:val="24"/>
          <w:szCs w:val="24"/>
          <w:lang w:val="uk-UA"/>
        </w:rPr>
        <w:lastRenderedPageBreak/>
        <w:t xml:space="preserve">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ED6CA8">
        <w:rPr>
          <w:rFonts w:ascii="Times New Roman" w:eastAsia="Times New Roman" w:hAnsi="Times New Roman" w:cs="Times New Roman"/>
          <w:color w:val="auto"/>
          <w:sz w:val="24"/>
          <w:szCs w:val="24"/>
          <w:lang w:val="uk-UA"/>
        </w:rPr>
        <w:t xml:space="preserve">Тролейбусна, </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w:t>
      </w:r>
      <w:r w:rsidRPr="00A30C07">
        <w:rPr>
          <w:rFonts w:ascii="Times New Roman" w:eastAsia="Times New Roman" w:hAnsi="Times New Roman" w:cs="Times New Roman"/>
          <w:sz w:val="24"/>
          <w:szCs w:val="24"/>
          <w:lang w:val="uk-UA"/>
        </w:rPr>
        <w:lastRenderedPageBreak/>
        <w:t xml:space="preserve">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lastRenderedPageBreak/>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w:t>
      </w:r>
      <w:r w:rsidR="00385BC7">
        <w:rPr>
          <w:rFonts w:ascii="Times New Roman" w:eastAsia="Times New Roman" w:hAnsi="Times New Roman" w:cs="Times New Roman"/>
          <w:color w:val="auto"/>
          <w:kern w:val="2"/>
          <w:sz w:val="24"/>
          <w:szCs w:val="24"/>
          <w:lang w:val="uk-UA" w:bidi="hi-IN"/>
        </w:rPr>
        <w:t>оронами і діє до 31 грудня  2023</w:t>
      </w:r>
      <w:r w:rsidRPr="00A30C07">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w:t>
      </w:r>
      <w:r w:rsidRPr="00A30C07">
        <w:rPr>
          <w:rFonts w:ascii="Times New Roman" w:eastAsia="Times New Roman" w:hAnsi="Times New Roman" w:cs="Times New Roman"/>
          <w:color w:val="auto"/>
          <w:sz w:val="24"/>
          <w:szCs w:val="24"/>
          <w:lang w:val="uk-UA"/>
        </w:rPr>
        <w:lastRenderedPageBreak/>
        <w:t xml:space="preserve">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ED6CA8">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A03723" w:rsidRDefault="00A03723"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uk-UA"/>
        </w:rPr>
      </w:pPr>
    </w:p>
    <w:p w:rsidR="00EF4FDD" w:rsidRDefault="00EF4FDD"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Default="003A7292" w:rsidP="00A03723">
      <w:pPr>
        <w:spacing w:line="240" w:lineRule="auto"/>
        <w:rPr>
          <w:rFonts w:ascii="Times New Roman" w:eastAsia="Times New Roman" w:hAnsi="Times New Roman" w:cs="Times New Roman"/>
          <w:b/>
          <w:bCs/>
          <w:color w:val="auto"/>
          <w:sz w:val="24"/>
          <w:szCs w:val="24"/>
          <w:lang w:val="en-US"/>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2023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385BC7">
              <w:rPr>
                <w:rFonts w:ascii="Times New Roman" w:eastAsia="DejaVu Sans" w:hAnsi="Times New Roman" w:cs="FreeSans"/>
                <w:b/>
                <w:bCs/>
                <w:color w:val="auto"/>
                <w:kern w:val="2"/>
                <w:sz w:val="24"/>
                <w:szCs w:val="24"/>
                <w:lang w:val="uk-UA" w:eastAsia="zh-CN" w:bidi="hi-IN"/>
              </w:rPr>
              <w:t>Тролейбусна,</w:t>
            </w:r>
            <w:bookmarkStart w:id="0" w:name="_GoBack"/>
            <w:bookmarkEnd w:id="0"/>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7572A"/>
    <w:rsid w:val="001C3CB8"/>
    <w:rsid w:val="002D0B07"/>
    <w:rsid w:val="00385BC7"/>
    <w:rsid w:val="003A7292"/>
    <w:rsid w:val="003E019F"/>
    <w:rsid w:val="004238CD"/>
    <w:rsid w:val="004354CB"/>
    <w:rsid w:val="00436A3D"/>
    <w:rsid w:val="005B3BB7"/>
    <w:rsid w:val="00630BA8"/>
    <w:rsid w:val="006F32DB"/>
    <w:rsid w:val="007E189E"/>
    <w:rsid w:val="00802179"/>
    <w:rsid w:val="00917D22"/>
    <w:rsid w:val="00971CD6"/>
    <w:rsid w:val="00A03723"/>
    <w:rsid w:val="00A521E2"/>
    <w:rsid w:val="00A76832"/>
    <w:rsid w:val="00AC27CA"/>
    <w:rsid w:val="00C36A7E"/>
    <w:rsid w:val="00C724CD"/>
    <w:rsid w:val="00D638C8"/>
    <w:rsid w:val="00DA6AC1"/>
    <w:rsid w:val="00DC140C"/>
    <w:rsid w:val="00DF3BDD"/>
    <w:rsid w:val="00E06B9F"/>
    <w:rsid w:val="00E72CB4"/>
    <w:rsid w:val="00ED6CA8"/>
    <w:rsid w:val="00EF4FDD"/>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C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CB4"/>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10</cp:revision>
  <cp:lastPrinted>2023-11-27T06:53:00Z</cp:lastPrinted>
  <dcterms:created xsi:type="dcterms:W3CDTF">2023-10-04T07:11:00Z</dcterms:created>
  <dcterms:modified xsi:type="dcterms:W3CDTF">2023-12-08T07:01:00Z</dcterms:modified>
</cp:coreProperties>
</file>